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2573" w14:textId="56DE0AFD" w:rsidR="00AB2DEF" w:rsidRPr="00B327EB" w:rsidRDefault="00AB2DEF" w:rsidP="00354640">
      <w:pPr>
        <w:spacing w:after="0" w:line="240" w:lineRule="auto"/>
        <w:ind w:left="1418" w:hanging="1418"/>
        <w:jc w:val="center"/>
        <w:rPr>
          <w:rFonts w:ascii="Arial" w:hAnsi="Arial" w:cs="Arial"/>
          <w:b/>
          <w:bCs/>
          <w:sz w:val="18"/>
          <w:szCs w:val="18"/>
        </w:rPr>
      </w:pPr>
      <w:r w:rsidRPr="00B327EB">
        <w:rPr>
          <w:rFonts w:ascii="Arial" w:hAnsi="Arial" w:cs="Arial"/>
          <w:b/>
          <w:sz w:val="18"/>
          <w:szCs w:val="18"/>
        </w:rPr>
        <w:t xml:space="preserve">ANEXO </w:t>
      </w:r>
      <w:r w:rsidR="00897642" w:rsidRPr="00B327EB">
        <w:rPr>
          <w:rFonts w:ascii="Arial" w:hAnsi="Arial" w:cs="Arial"/>
          <w:b/>
          <w:sz w:val="18"/>
          <w:szCs w:val="18"/>
        </w:rPr>
        <w:t>8</w:t>
      </w:r>
      <w:r w:rsidR="00CC43A5" w:rsidRPr="00B327EB">
        <w:rPr>
          <w:rFonts w:ascii="Arial" w:hAnsi="Arial" w:cs="Arial"/>
          <w:b/>
          <w:sz w:val="18"/>
          <w:szCs w:val="18"/>
        </w:rPr>
        <w:t xml:space="preserve">. </w:t>
      </w:r>
      <w:r w:rsidRPr="00B327EB">
        <w:rPr>
          <w:rFonts w:ascii="Arial" w:hAnsi="Arial" w:cs="Arial"/>
          <w:b/>
          <w:bCs/>
          <w:sz w:val="18"/>
          <w:szCs w:val="18"/>
        </w:rPr>
        <w:t>MODELOS CUANTITATIVOS</w:t>
      </w:r>
      <w:r w:rsidR="00144E92" w:rsidRPr="00B327EB">
        <w:rPr>
          <w:rFonts w:ascii="Arial" w:hAnsi="Arial" w:cs="Arial"/>
          <w:b/>
          <w:bCs/>
          <w:sz w:val="18"/>
          <w:szCs w:val="18"/>
        </w:rPr>
        <w:t xml:space="preserve"> DE</w:t>
      </w:r>
      <w:r w:rsidRPr="00B327EB">
        <w:rPr>
          <w:rFonts w:ascii="Arial" w:hAnsi="Arial" w:cs="Arial"/>
          <w:b/>
          <w:bCs/>
          <w:sz w:val="18"/>
          <w:szCs w:val="18"/>
        </w:rPr>
        <w:t xml:space="preserve"> RIESGO DE MERCADO</w:t>
      </w:r>
      <w:r w:rsidR="00144E92" w:rsidRPr="00B327EB">
        <w:rPr>
          <w:rFonts w:ascii="Arial" w:hAnsi="Arial" w:cs="Arial"/>
          <w:b/>
          <w:bCs/>
          <w:sz w:val="18"/>
          <w:szCs w:val="18"/>
        </w:rPr>
        <w:t xml:space="preserve"> APLICABLE A</w:t>
      </w:r>
      <w:r w:rsidR="00CC43A5" w:rsidRPr="00B327EB">
        <w:rPr>
          <w:rFonts w:ascii="Arial" w:hAnsi="Arial" w:cs="Arial"/>
          <w:b/>
          <w:bCs/>
          <w:sz w:val="18"/>
          <w:szCs w:val="18"/>
        </w:rPr>
        <w:t xml:space="preserve"> LAS </w:t>
      </w:r>
      <w:r w:rsidR="00144E92" w:rsidRPr="00B327EB">
        <w:rPr>
          <w:rFonts w:ascii="Arial" w:hAnsi="Arial" w:cs="Arial"/>
          <w:b/>
          <w:bCs/>
          <w:sz w:val="18"/>
          <w:szCs w:val="18"/>
        </w:rPr>
        <w:t>ENTIDADES DE SEGUROS GENERALES RESPECTO DE LAS INVERSIONES QUE RESPALDEN SUS RESERVAS TÉCNICAS</w:t>
      </w:r>
    </w:p>
    <w:p w14:paraId="3731B5AC" w14:textId="77777777" w:rsidR="00AB2DEF" w:rsidRPr="00B327EB" w:rsidRDefault="00AB2DEF" w:rsidP="00354640">
      <w:pPr>
        <w:spacing w:after="0" w:line="240" w:lineRule="auto"/>
        <w:jc w:val="both"/>
        <w:rPr>
          <w:rFonts w:ascii="Arial" w:eastAsia="Times New Roman" w:hAnsi="Arial" w:cs="Arial"/>
          <w:b/>
          <w:snapToGrid w:val="0"/>
          <w:sz w:val="18"/>
          <w:szCs w:val="18"/>
          <w:lang w:val="es-MX" w:eastAsia="es-ES"/>
        </w:rPr>
      </w:pPr>
    </w:p>
    <w:p w14:paraId="09135BEF" w14:textId="0591D71A" w:rsidR="00AB2DEF" w:rsidRPr="00B327EB" w:rsidRDefault="00144E92" w:rsidP="00354640">
      <w:pPr>
        <w:numPr>
          <w:ilvl w:val="0"/>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CONSIDERACIONES GENERALES</w:t>
      </w:r>
    </w:p>
    <w:p w14:paraId="46BA8823" w14:textId="77777777" w:rsidR="00AB2DEF" w:rsidRPr="00B327EB" w:rsidRDefault="00AB2DEF" w:rsidP="00354640">
      <w:pPr>
        <w:spacing w:after="0" w:line="240" w:lineRule="auto"/>
        <w:contextualSpacing/>
        <w:jc w:val="both"/>
        <w:rPr>
          <w:rFonts w:ascii="Arial" w:eastAsia="Times New Roman" w:hAnsi="Arial" w:cs="Arial"/>
          <w:sz w:val="18"/>
          <w:szCs w:val="18"/>
          <w:lang w:val="es-ES" w:eastAsia="es-ES"/>
        </w:rPr>
      </w:pPr>
    </w:p>
    <w:p w14:paraId="07DBA582" w14:textId="5307E6DF" w:rsidR="00366553"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el presente </w:t>
      </w:r>
      <w:r w:rsidR="00144E92" w:rsidRPr="00B327EB">
        <w:rPr>
          <w:rFonts w:ascii="Arial" w:eastAsia="Times New Roman" w:hAnsi="Arial" w:cs="Arial"/>
          <w:sz w:val="18"/>
          <w:szCs w:val="18"/>
          <w:lang w:val="es-ES" w:eastAsia="es-ES"/>
        </w:rPr>
        <w:t>A</w:t>
      </w:r>
      <w:r w:rsidRPr="00B327EB">
        <w:rPr>
          <w:rFonts w:ascii="Arial" w:eastAsia="Times New Roman" w:hAnsi="Arial" w:cs="Arial"/>
          <w:sz w:val="18"/>
          <w:szCs w:val="18"/>
          <w:lang w:val="es-ES" w:eastAsia="es-ES"/>
        </w:rPr>
        <w:t xml:space="preserve">nexo se establece el modelo estándar para la medición de riesgo de mercado </w:t>
      </w:r>
      <w:r w:rsidR="00144E92" w:rsidRPr="00B327EB">
        <w:rPr>
          <w:rFonts w:ascii="Arial" w:eastAsia="Times New Roman" w:hAnsi="Arial" w:cs="Arial"/>
          <w:sz w:val="18"/>
          <w:szCs w:val="18"/>
          <w:lang w:val="es-ES" w:eastAsia="es-ES"/>
        </w:rPr>
        <w:t>que</w:t>
      </w:r>
      <w:r w:rsidRPr="00B327EB">
        <w:rPr>
          <w:rFonts w:ascii="Arial" w:eastAsia="Times New Roman" w:hAnsi="Arial" w:cs="Arial"/>
          <w:sz w:val="18"/>
          <w:szCs w:val="18"/>
          <w:lang w:val="es-ES" w:eastAsia="es-ES"/>
        </w:rPr>
        <w:t xml:space="preserve"> deben emplear</w:t>
      </w:r>
      <w:r w:rsidRPr="00B327EB">
        <w:rPr>
          <w:rFonts w:ascii="Arial" w:hAnsi="Arial" w:cs="Arial"/>
          <w:sz w:val="18"/>
          <w:szCs w:val="18"/>
        </w:rPr>
        <w:t xml:space="preserve"> </w:t>
      </w:r>
      <w:r w:rsidRPr="00B327EB">
        <w:rPr>
          <w:rFonts w:ascii="Arial" w:eastAsia="Times New Roman" w:hAnsi="Arial" w:cs="Arial"/>
          <w:sz w:val="18"/>
          <w:szCs w:val="18"/>
          <w:lang w:val="es-ES" w:eastAsia="es-ES"/>
        </w:rPr>
        <w:t>las entidades de seguros generales para las inversiones que respalden sus reservas técnicas.</w:t>
      </w:r>
    </w:p>
    <w:p w14:paraId="55896B9F"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p>
    <w:p w14:paraId="13F295E5" w14:textId="05E76D56" w:rsidR="00AB2DEF" w:rsidRPr="00B327EB" w:rsidRDefault="00144E92" w:rsidP="00354640">
      <w:pPr>
        <w:numPr>
          <w:ilvl w:val="0"/>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METODOLOGÍA ESTÁNDAR DE MEDICIÓN</w:t>
      </w:r>
    </w:p>
    <w:p w14:paraId="5C6D3194" w14:textId="77777777" w:rsidR="00AB2DEF" w:rsidRPr="00B327EB" w:rsidRDefault="00AB2DEF" w:rsidP="00354640">
      <w:pPr>
        <w:spacing w:after="0" w:line="240" w:lineRule="auto"/>
        <w:jc w:val="both"/>
        <w:rPr>
          <w:rFonts w:ascii="Arial" w:eastAsia="Times New Roman" w:hAnsi="Arial" w:cs="Arial"/>
          <w:b/>
          <w:sz w:val="18"/>
          <w:szCs w:val="18"/>
          <w:lang w:val="es-ES" w:eastAsia="es-ES"/>
        </w:rPr>
      </w:pPr>
    </w:p>
    <w:p w14:paraId="6413EE3A" w14:textId="57870E61"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La metodología estandarizada se compone </w:t>
      </w:r>
      <w:r w:rsidR="00A03074" w:rsidRPr="00B327EB">
        <w:rPr>
          <w:rFonts w:ascii="Arial" w:eastAsia="Times New Roman" w:hAnsi="Arial" w:cs="Arial"/>
          <w:sz w:val="18"/>
          <w:szCs w:val="18"/>
          <w:lang w:val="es-ES" w:eastAsia="es-ES"/>
        </w:rPr>
        <w:t xml:space="preserve">de un modelo de factores de riesgo que </w:t>
      </w:r>
      <w:r w:rsidRPr="00B327EB">
        <w:rPr>
          <w:rFonts w:ascii="Arial" w:eastAsia="Times New Roman" w:hAnsi="Arial" w:cs="Arial"/>
          <w:sz w:val="18"/>
          <w:szCs w:val="18"/>
          <w:lang w:val="es-ES" w:eastAsia="es-ES"/>
        </w:rPr>
        <w:t>se calculan separadamente y son los siguientes:</w:t>
      </w:r>
    </w:p>
    <w:p w14:paraId="4FA9850B" w14:textId="60E23DA3" w:rsidR="00A03074"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a. Riesgo de tasa de interés.</w:t>
      </w:r>
    </w:p>
    <w:p w14:paraId="0613602F" w14:textId="2EF764E4" w:rsidR="00AB2DEF"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b</w:t>
      </w:r>
      <w:r w:rsidR="00AB2DEF" w:rsidRPr="00B327EB">
        <w:rPr>
          <w:rFonts w:ascii="Arial" w:eastAsia="Times New Roman" w:hAnsi="Arial" w:cs="Arial"/>
          <w:sz w:val="18"/>
          <w:szCs w:val="18"/>
          <w:lang w:val="es-ES" w:eastAsia="es-ES"/>
        </w:rPr>
        <w:t>. Riesgo de tasa de cambio.</w:t>
      </w:r>
    </w:p>
    <w:p w14:paraId="305DA00D" w14:textId="63E64DBA" w:rsidR="00AB2DEF"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w:t>
      </w:r>
      <w:r w:rsidR="00AB2DEF" w:rsidRPr="00B327EB">
        <w:rPr>
          <w:rFonts w:ascii="Arial" w:eastAsia="Times New Roman" w:hAnsi="Arial" w:cs="Arial"/>
          <w:sz w:val="18"/>
          <w:szCs w:val="18"/>
          <w:lang w:val="es-ES" w:eastAsia="es-ES"/>
        </w:rPr>
        <w:t>. Riesgo de precio de acciones.</w:t>
      </w:r>
    </w:p>
    <w:p w14:paraId="12D1D650" w14:textId="7BF69DCD" w:rsidR="00AB2DEF" w:rsidRPr="00B327EB" w:rsidRDefault="00A03074"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w:t>
      </w:r>
      <w:r w:rsidR="00AB2DEF" w:rsidRPr="00B327EB">
        <w:rPr>
          <w:rFonts w:ascii="Arial" w:eastAsia="Times New Roman" w:hAnsi="Arial" w:cs="Arial"/>
          <w:sz w:val="18"/>
          <w:szCs w:val="18"/>
          <w:lang w:val="es-ES" w:eastAsia="es-ES"/>
        </w:rPr>
        <w:t xml:space="preserve">. Riesgo de </w:t>
      </w:r>
      <w:r w:rsidR="00144E92" w:rsidRPr="00B327EB">
        <w:rPr>
          <w:rFonts w:ascii="Arial" w:eastAsia="Times New Roman" w:hAnsi="Arial" w:cs="Arial"/>
          <w:sz w:val="18"/>
          <w:szCs w:val="18"/>
          <w:lang w:val="es-ES" w:eastAsia="es-ES"/>
        </w:rPr>
        <w:t>FICs</w:t>
      </w:r>
      <w:r w:rsidR="00AB2DEF" w:rsidRPr="00B327EB">
        <w:rPr>
          <w:rFonts w:ascii="Arial" w:eastAsia="Times New Roman" w:hAnsi="Arial" w:cs="Arial"/>
          <w:sz w:val="18"/>
          <w:szCs w:val="18"/>
          <w:lang w:val="es-ES" w:eastAsia="es-ES"/>
        </w:rPr>
        <w:t>.</w:t>
      </w:r>
    </w:p>
    <w:p w14:paraId="04D6E9B4" w14:textId="3F10B217" w:rsidR="009E5A1C" w:rsidRPr="00B327EB" w:rsidRDefault="009E5A1C"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 Riesgo de credit default swaps (CDS)</w:t>
      </w:r>
      <w:r w:rsidR="00C73F50" w:rsidRPr="00B327EB">
        <w:rPr>
          <w:rFonts w:ascii="Arial" w:eastAsia="Times New Roman" w:hAnsi="Arial" w:cs="Arial"/>
          <w:sz w:val="18"/>
          <w:szCs w:val="18"/>
          <w:lang w:val="es-ES" w:eastAsia="es-ES"/>
        </w:rPr>
        <w:t>.</w:t>
      </w:r>
    </w:p>
    <w:p w14:paraId="17176866"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p>
    <w:p w14:paraId="780CC068"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obtener la exposición total a riesgos de mercado los resultados de estos módulos se deben agregar aritméticamente.</w:t>
      </w:r>
    </w:p>
    <w:p w14:paraId="7D96C0D6" w14:textId="6F930619" w:rsidR="00144E92" w:rsidRPr="00B327EB" w:rsidRDefault="00AB2DEF" w:rsidP="00354640">
      <w:pPr>
        <w:spacing w:after="0" w:line="240" w:lineRule="auto"/>
        <w:contextualSpacing/>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los módulos de tasa de interés y de acciones, se toman en cuenta únicamente las posiciones del libro de tesorería. En el caso del módulo de tasa de cambio se incluyen también las posiciones del libro bancario.</w:t>
      </w:r>
    </w:p>
    <w:p w14:paraId="1D4A83BF" w14:textId="77777777" w:rsidR="00AB2DEF" w:rsidRPr="00B327EB" w:rsidRDefault="00AB2DEF" w:rsidP="00354640">
      <w:pPr>
        <w:spacing w:after="0" w:line="240" w:lineRule="auto"/>
        <w:contextualSpacing/>
        <w:jc w:val="both"/>
        <w:rPr>
          <w:rFonts w:ascii="Arial" w:eastAsia="Times New Roman" w:hAnsi="Arial" w:cs="Arial"/>
          <w:sz w:val="18"/>
          <w:szCs w:val="18"/>
          <w:lang w:val="es-ES" w:eastAsia="es-ES"/>
        </w:rPr>
      </w:pPr>
    </w:p>
    <w:p w14:paraId="4EACF6F9" w14:textId="2E01F624"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MX" w:eastAsia="es-ES"/>
        </w:rPr>
      </w:pPr>
      <w:r w:rsidRPr="00B327EB">
        <w:rPr>
          <w:rFonts w:ascii="Arial" w:eastAsia="Times New Roman" w:hAnsi="Arial" w:cs="Arial"/>
          <w:b/>
          <w:sz w:val="18"/>
          <w:szCs w:val="18"/>
          <w:lang w:val="es-ES" w:eastAsia="es-ES"/>
        </w:rPr>
        <w:t>Tratamiento de las posiciones en derivados y otras operaciones</w:t>
      </w:r>
    </w:p>
    <w:p w14:paraId="5C8B9E53" w14:textId="77777777" w:rsidR="00AB2DEF" w:rsidRPr="00B327EB" w:rsidRDefault="00AB2DEF" w:rsidP="00354640">
      <w:pPr>
        <w:spacing w:after="0" w:line="240" w:lineRule="auto"/>
        <w:jc w:val="both"/>
        <w:rPr>
          <w:rFonts w:ascii="Arial" w:eastAsia="Times New Roman" w:hAnsi="Arial" w:cs="Arial"/>
          <w:b/>
          <w:sz w:val="18"/>
          <w:szCs w:val="18"/>
          <w:lang w:val="es-MX" w:eastAsia="es-ES"/>
        </w:rPr>
      </w:pPr>
    </w:p>
    <w:p w14:paraId="7345B742" w14:textId="1B99AA92"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Las posiciones en instrumentos derivados y en operaciones de repo o reporto, en operaciones simultáneas y en operaciones de transferencia temporal de valores serán tenidas en cuenta para el cálculo de los requerimientos de capital en cada uno de los módulos </w:t>
      </w:r>
      <w:r w:rsidR="00575987"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las condiciones señaladas a continuación.</w:t>
      </w:r>
    </w:p>
    <w:p w14:paraId="023A53DD"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92A3A73" w14:textId="5FC9E5F2" w:rsidR="00354640"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2.1.1. Posiciones en Derivados</w:t>
      </w:r>
    </w:p>
    <w:p w14:paraId="54944866" w14:textId="599336CC" w:rsidR="00AB2DEF" w:rsidRPr="00B327EB" w:rsidRDefault="00AB2DEF" w:rsidP="00354640">
      <w:pPr>
        <w:spacing w:after="0" w:line="240" w:lineRule="auto"/>
        <w:jc w:val="both"/>
        <w:rPr>
          <w:rFonts w:ascii="Arial" w:eastAsia="Times New Roman" w:hAnsi="Arial" w:cs="Arial"/>
          <w:sz w:val="18"/>
          <w:szCs w:val="18"/>
          <w:lang w:val="es-ES" w:eastAsia="es-ES"/>
        </w:rPr>
      </w:pPr>
    </w:p>
    <w:p w14:paraId="57AA60C6" w14:textId="33AE824B"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su inclusión en los cálculos del cargo de capital del presente numeral, </w:t>
      </w:r>
      <w:r w:rsidR="00DF2B76" w:rsidRPr="00B327EB">
        <w:rPr>
          <w:rFonts w:ascii="Arial" w:eastAsia="Times New Roman" w:hAnsi="Arial" w:cs="Arial"/>
          <w:sz w:val="18"/>
          <w:szCs w:val="18"/>
          <w:lang w:val="es-ES" w:eastAsia="es-ES"/>
        </w:rPr>
        <w:t>los instrumentos derivados debe</w:t>
      </w:r>
      <w:r w:rsidRPr="00B327EB">
        <w:rPr>
          <w:rFonts w:ascii="Arial" w:eastAsia="Times New Roman" w:hAnsi="Arial" w:cs="Arial"/>
          <w:sz w:val="18"/>
          <w:szCs w:val="18"/>
          <w:lang w:val="es-ES" w:eastAsia="es-ES"/>
        </w:rPr>
        <w:t xml:space="preserve">n ser convertidos en posiciones de los instrumentos subyacentes correspondientes. Los montos reportados corresponderán al valor de mercado de las posiciones nocionales reportadas. A </w:t>
      </w:r>
      <w:r w:rsidR="00B77CC0" w:rsidRPr="00B327EB">
        <w:rPr>
          <w:rFonts w:ascii="Arial" w:eastAsia="Times New Roman" w:hAnsi="Arial" w:cs="Arial"/>
          <w:sz w:val="18"/>
          <w:szCs w:val="18"/>
          <w:lang w:val="es-ES" w:eastAsia="es-ES"/>
        </w:rPr>
        <w:t>continuación,</w:t>
      </w:r>
      <w:r w:rsidRPr="00B327EB">
        <w:rPr>
          <w:rFonts w:ascii="Arial" w:eastAsia="Times New Roman" w:hAnsi="Arial" w:cs="Arial"/>
          <w:sz w:val="18"/>
          <w:szCs w:val="18"/>
          <w:lang w:val="es-ES" w:eastAsia="es-ES"/>
        </w:rPr>
        <w:t xml:space="preserve"> se presentan instrucciones referentes al tratamiento de algunos instrumentos específicos.</w:t>
      </w:r>
    </w:p>
    <w:p w14:paraId="4BAB3622"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E4F5F1A" w14:textId="1F8EE4C0" w:rsidR="00AB2DEF" w:rsidRPr="00B327EB" w:rsidRDefault="00AB2DEF" w:rsidP="009D36D2">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y Forwards sobre tasa de interés</w:t>
      </w:r>
      <w:r w:rsidR="00DF07B3" w:rsidRPr="00B327EB">
        <w:rPr>
          <w:rFonts w:ascii="Arial" w:eastAsia="Times New Roman" w:hAnsi="Arial" w:cs="Arial"/>
          <w:sz w:val="18"/>
          <w:szCs w:val="18"/>
          <w:lang w:val="es-ES" w:eastAsia="es-ES"/>
        </w:rPr>
        <w:t>.</w:t>
      </w:r>
    </w:p>
    <w:p w14:paraId="33214CDF"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521C9FF" w14:textId="684EEC78" w:rsidR="0035183A" w:rsidRPr="00B327EB" w:rsidRDefault="00AB2DEF" w:rsidP="009D36D2">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Estos instrumentos deberán ser tratados como 2 posiciones nocionales en bonos cero cupón.</w:t>
      </w:r>
    </w:p>
    <w:p w14:paraId="36D29E2C" w14:textId="77777777" w:rsidR="00354640" w:rsidRPr="00B327EB" w:rsidRDefault="00354640" w:rsidP="009D36D2">
      <w:pPr>
        <w:spacing w:after="0" w:line="240" w:lineRule="auto"/>
        <w:ind w:left="284"/>
        <w:jc w:val="both"/>
        <w:rPr>
          <w:rFonts w:ascii="Arial" w:eastAsia="Times New Roman" w:hAnsi="Arial" w:cs="Arial"/>
          <w:sz w:val="18"/>
          <w:szCs w:val="18"/>
          <w:lang w:val="es-ES" w:eastAsia="es-ES"/>
        </w:rPr>
      </w:pPr>
    </w:p>
    <w:p w14:paraId="060033C1" w14:textId="129F5237" w:rsidR="00AB2DEF" w:rsidRPr="00B327EB" w:rsidRDefault="00AB2DEF" w:rsidP="009D36D2">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 entidad vigilada vende un futuro sobre una tasa de interés o compra un forward sobre tasa de interés, es decir, que se compromete a pagar una tasa de interés durante un periodo de tiempo en el futuro, esta posición se descompone en:</w:t>
      </w:r>
    </w:p>
    <w:p w14:paraId="3E1B0170"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0CE1548" w14:textId="77777777" w:rsidR="00DF2B76" w:rsidRPr="00B327EB" w:rsidRDefault="00AB2DEF" w:rsidP="00E93F7C">
      <w:pPr>
        <w:pStyle w:val="Prrafodelista"/>
        <w:numPr>
          <w:ilvl w:val="0"/>
          <w:numId w:val="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corta en un bono cero cupón con madurez residual igual al tiempo que resta hasta el inicio del contrato más el periodo efectivo de pago de la tasa de interés.</w:t>
      </w:r>
    </w:p>
    <w:p w14:paraId="0D133E68" w14:textId="77777777" w:rsidR="00DF2B76" w:rsidRPr="00B327EB" w:rsidRDefault="00DF2B76" w:rsidP="00E93F7C">
      <w:pPr>
        <w:pStyle w:val="Prrafodelista"/>
        <w:spacing w:after="0" w:line="240" w:lineRule="auto"/>
        <w:ind w:left="567" w:hanging="283"/>
        <w:jc w:val="both"/>
        <w:rPr>
          <w:rFonts w:ascii="Arial" w:eastAsia="Times New Roman" w:hAnsi="Arial" w:cs="Arial"/>
          <w:sz w:val="18"/>
          <w:szCs w:val="18"/>
          <w:lang w:val="es-ES" w:eastAsia="es-ES"/>
        </w:rPr>
      </w:pPr>
    </w:p>
    <w:p w14:paraId="364DC7B1" w14:textId="77777777" w:rsidR="00AB2DEF" w:rsidRPr="00B327EB" w:rsidRDefault="00AB2DEF" w:rsidP="00E93F7C">
      <w:pPr>
        <w:pStyle w:val="Prrafodelista"/>
        <w:numPr>
          <w:ilvl w:val="0"/>
          <w:numId w:val="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un bono cero cupón con madurez residual igual al tiempo que resta hasta el inicio del contrato.</w:t>
      </w:r>
    </w:p>
    <w:p w14:paraId="4EEFB80C"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60F295B5"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el caso contrario (la entidad compra un futuro o vende un FRA), la primera posición nocional descrita es larga y la segunda corta.</w:t>
      </w:r>
    </w:p>
    <w:p w14:paraId="71060BB4"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DE83369" w14:textId="4BC84714"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efectos de los futuros y forwards sobre variaciones de índices no accionarios les será aplicable lo establecido en el presente literal (i.e. futuro sobre inflación).</w:t>
      </w:r>
    </w:p>
    <w:p w14:paraId="5D5BA407"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009194F" w14:textId="7A97A2D4" w:rsidR="00AB2DEF" w:rsidRPr="00B327EB" w:rsidRDefault="00AB2DEF" w:rsidP="003A51B5">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Forwards y Operaciones a Plazo sobre títulos de deuda</w:t>
      </w:r>
      <w:r w:rsidR="00DF07B3" w:rsidRPr="00B327EB">
        <w:rPr>
          <w:rFonts w:ascii="Arial" w:eastAsia="Times New Roman" w:hAnsi="Arial" w:cs="Arial"/>
          <w:sz w:val="18"/>
          <w:szCs w:val="18"/>
          <w:lang w:val="es-ES" w:eastAsia="es-ES"/>
        </w:rPr>
        <w:t>.</w:t>
      </w:r>
    </w:p>
    <w:p w14:paraId="264E8F69"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581CE78E" w14:textId="77777777" w:rsidR="00AB2DEF" w:rsidRPr="00B327EB" w:rsidRDefault="00AB2DEF" w:rsidP="003658C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Estos instrumentos deberán ser t</w:t>
      </w:r>
      <w:r w:rsidR="00DF2B76" w:rsidRPr="00B327EB">
        <w:rPr>
          <w:rFonts w:ascii="Arial" w:eastAsia="Times New Roman" w:hAnsi="Arial" w:cs="Arial"/>
          <w:sz w:val="18"/>
          <w:szCs w:val="18"/>
          <w:lang w:val="es-ES" w:eastAsia="es-ES"/>
        </w:rPr>
        <w:t xml:space="preserve">ratados como </w:t>
      </w:r>
      <w:r w:rsidRPr="00B327EB">
        <w:rPr>
          <w:rFonts w:ascii="Arial" w:eastAsia="Times New Roman" w:hAnsi="Arial" w:cs="Arial"/>
          <w:sz w:val="18"/>
          <w:szCs w:val="18"/>
          <w:lang w:val="es-ES" w:eastAsia="es-ES"/>
        </w:rPr>
        <w:t>2 posiciones nocionales, una en el título subyacente y otra en un bono cero cupón. Cuando la entidad tenga una posición larga en las operaciones de que trata el presente literal (es decir que se compromete a comprar un título a un precio previamente establecido en un punto de tiempo en el futuro), esta posición se descompone en:</w:t>
      </w:r>
    </w:p>
    <w:p w14:paraId="73DAA0E9"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7EC1617" w14:textId="77777777" w:rsidR="00DF2B76" w:rsidRPr="00B327EB" w:rsidRDefault="00AB2DEF" w:rsidP="003658CB">
      <w:pPr>
        <w:pStyle w:val="Prrafodelista"/>
        <w:numPr>
          <w:ilvl w:val="0"/>
          <w:numId w:val="4"/>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el título subyacente.</w:t>
      </w:r>
    </w:p>
    <w:p w14:paraId="67185296" w14:textId="77777777" w:rsidR="00DF2B76" w:rsidRPr="00B327EB" w:rsidRDefault="00DF2B76" w:rsidP="003658CB">
      <w:pPr>
        <w:pStyle w:val="Prrafodelista"/>
        <w:spacing w:after="0" w:line="240" w:lineRule="auto"/>
        <w:ind w:left="567" w:hanging="283"/>
        <w:jc w:val="both"/>
        <w:rPr>
          <w:rFonts w:ascii="Arial" w:eastAsia="Times New Roman" w:hAnsi="Arial" w:cs="Arial"/>
          <w:sz w:val="18"/>
          <w:szCs w:val="18"/>
          <w:lang w:val="es-ES" w:eastAsia="es-ES"/>
        </w:rPr>
      </w:pPr>
    </w:p>
    <w:p w14:paraId="2B25235A" w14:textId="77777777" w:rsidR="00AB2DEF" w:rsidRPr="00B327EB" w:rsidRDefault="00AB2DEF" w:rsidP="003658CB">
      <w:pPr>
        <w:pStyle w:val="Prrafodelista"/>
        <w:numPr>
          <w:ilvl w:val="0"/>
          <w:numId w:val="4"/>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corta en un bono cero cupón con madurez residual igual al tiempo que resta para el cumplimiento del contrato (el valor nominal de esta posición corresponde al precio pactado).</w:t>
      </w:r>
    </w:p>
    <w:p w14:paraId="4ACA0BE3" w14:textId="77777777"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Para el caso contrario (posición corta en el futuro, el forward o la operación a plazo), la primera posición nocional descrita es corta y la segunda larga.</w:t>
      </w:r>
    </w:p>
    <w:p w14:paraId="550250A2" w14:textId="77777777" w:rsidR="00354640" w:rsidRPr="00B327EB" w:rsidRDefault="00354640" w:rsidP="00354640">
      <w:pPr>
        <w:spacing w:after="0" w:line="240" w:lineRule="auto"/>
        <w:ind w:left="284"/>
        <w:jc w:val="both"/>
        <w:rPr>
          <w:rFonts w:ascii="Arial" w:eastAsia="Times New Roman" w:hAnsi="Arial" w:cs="Arial"/>
          <w:sz w:val="18"/>
          <w:szCs w:val="18"/>
          <w:lang w:val="es-ES" w:eastAsia="es-ES"/>
        </w:rPr>
      </w:pPr>
    </w:p>
    <w:p w14:paraId="4436D549" w14:textId="77777777"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el título subyacente de la operación esté denominado en una moneda distinta a la legal, la primera posición nocional descrita deberá ser clasificada en la escalera de duraciones modificadas respectiva y adicionalmente deberá ser tenida en cuenta para calcular la exposición al riesgo de tasa de cambio.</w:t>
      </w:r>
    </w:p>
    <w:p w14:paraId="1F221E04" w14:textId="77777777" w:rsidR="00354640" w:rsidRPr="00B327EB" w:rsidRDefault="00354640" w:rsidP="00354640">
      <w:pPr>
        <w:spacing w:after="0" w:line="240" w:lineRule="auto"/>
        <w:ind w:left="284"/>
        <w:jc w:val="both"/>
        <w:rPr>
          <w:rFonts w:ascii="Arial" w:eastAsia="Times New Roman" w:hAnsi="Arial" w:cs="Arial"/>
          <w:sz w:val="18"/>
          <w:szCs w:val="18"/>
          <w:lang w:val="es-ES" w:eastAsia="es-ES"/>
        </w:rPr>
      </w:pPr>
    </w:p>
    <w:p w14:paraId="06A138D9" w14:textId="705B96AB"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En el caso de los futuros sobre bonos nocionales que se negocien en la Bolsa de Valores de Colombia, la posición nocional larga de que trata el presente literal será calculada cómo el cociente entre el valor a precios de mercado del “</w:t>
      </w:r>
      <w:r w:rsidRPr="00B327EB">
        <w:rPr>
          <w:rFonts w:ascii="Arial" w:eastAsia="Times New Roman" w:hAnsi="Arial" w:cs="Arial"/>
          <w:i/>
          <w:sz w:val="18"/>
          <w:szCs w:val="18"/>
          <w:lang w:val="es-ES" w:eastAsia="es-ES"/>
        </w:rPr>
        <w:t>cheapest to deliver</w:t>
      </w:r>
      <w:r w:rsidRPr="00B327EB">
        <w:rPr>
          <w:rFonts w:ascii="Arial" w:eastAsia="Times New Roman" w:hAnsi="Arial" w:cs="Arial"/>
          <w:sz w:val="18"/>
          <w:szCs w:val="18"/>
          <w:lang w:val="es-ES" w:eastAsia="es-ES"/>
        </w:rPr>
        <w:t>” a la fecha de valoración respectiva y el factor de conversión definido por la Bolsa de Valores de Colombia.</w:t>
      </w:r>
    </w:p>
    <w:p w14:paraId="04B00DB1" w14:textId="77777777" w:rsidR="00354640" w:rsidRPr="00B327EB" w:rsidRDefault="00354640" w:rsidP="00354640">
      <w:pPr>
        <w:spacing w:after="0" w:line="240" w:lineRule="auto"/>
        <w:ind w:left="284"/>
        <w:jc w:val="both"/>
        <w:rPr>
          <w:rFonts w:ascii="Arial" w:eastAsia="Times New Roman" w:hAnsi="Arial" w:cs="Arial"/>
          <w:sz w:val="18"/>
          <w:szCs w:val="18"/>
          <w:lang w:val="es-ES" w:eastAsia="es-ES"/>
        </w:rPr>
      </w:pPr>
    </w:p>
    <w:p w14:paraId="720EA2D0" w14:textId="77777777" w:rsidR="00AB2DEF" w:rsidRPr="00B327EB" w:rsidRDefault="00AB2DEF" w:rsidP="0035464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este tipo de futuros, la posición nocional corta se definirá de acuerdo con las instrucciones señaladas en el presente literal.</w:t>
      </w:r>
    </w:p>
    <w:p w14:paraId="285FAF30"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688F86E" w14:textId="3E85758F" w:rsidR="00AB2DEF" w:rsidRPr="00B327EB" w:rsidRDefault="00AB2DEF" w:rsidP="00623BC0">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Forwards y Operaciones a Plazo sobre divisas</w:t>
      </w:r>
      <w:r w:rsidR="00DC1153" w:rsidRPr="00B327EB">
        <w:rPr>
          <w:rFonts w:ascii="Arial" w:eastAsia="Times New Roman" w:hAnsi="Arial" w:cs="Arial"/>
          <w:sz w:val="18"/>
          <w:szCs w:val="18"/>
          <w:lang w:val="es-ES" w:eastAsia="es-ES"/>
        </w:rPr>
        <w:t>.</w:t>
      </w:r>
    </w:p>
    <w:p w14:paraId="20FBC26C"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3FAF58F8" w14:textId="77777777" w:rsidR="00AB2DEF" w:rsidRPr="00B327EB" w:rsidRDefault="00AB2DEF" w:rsidP="00F36D7C">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Estos instrumentos deberán ser tratados como </w:t>
      </w:r>
      <w:r w:rsidR="00903E18" w:rsidRPr="00B327EB">
        <w:rPr>
          <w:rFonts w:ascii="Arial" w:eastAsia="Times New Roman" w:hAnsi="Arial" w:cs="Arial"/>
          <w:sz w:val="18"/>
          <w:szCs w:val="18"/>
          <w:lang w:val="es-ES" w:eastAsia="es-ES"/>
        </w:rPr>
        <w:t>2</w:t>
      </w:r>
      <w:r w:rsidRPr="00B327EB">
        <w:rPr>
          <w:rFonts w:ascii="Arial" w:eastAsia="Times New Roman" w:hAnsi="Arial" w:cs="Arial"/>
          <w:sz w:val="18"/>
          <w:szCs w:val="18"/>
          <w:lang w:val="es-ES" w:eastAsia="es-ES"/>
        </w:rPr>
        <w:t xml:space="preserve"> posiciones nocionales en bonos cero cupón en las monedas aplicables.</w:t>
      </w:r>
    </w:p>
    <w:p w14:paraId="42172CC5"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4F50719" w14:textId="77777777" w:rsidR="00AB2DEF" w:rsidRPr="00B327EB" w:rsidRDefault="00AB2DEF" w:rsidP="00F36D7C">
      <w:pPr>
        <w:pStyle w:val="Prrafodelista"/>
        <w:numPr>
          <w:ilvl w:val="0"/>
          <w:numId w:val="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un bono cero cupón, denominado en la moneda comprada y con una madurez residual igual al tiempo que resta para el cumplimiento del contrato.</w:t>
      </w:r>
    </w:p>
    <w:p w14:paraId="629BF6D7" w14:textId="77777777" w:rsidR="00354640" w:rsidRPr="00B327EB" w:rsidRDefault="00354640" w:rsidP="00F36D7C">
      <w:pPr>
        <w:pStyle w:val="Prrafodelista"/>
        <w:spacing w:after="0" w:line="240" w:lineRule="auto"/>
        <w:ind w:left="567" w:hanging="283"/>
        <w:jc w:val="both"/>
        <w:rPr>
          <w:rFonts w:ascii="Arial" w:eastAsia="Times New Roman" w:hAnsi="Arial" w:cs="Arial"/>
          <w:sz w:val="18"/>
          <w:szCs w:val="18"/>
          <w:lang w:val="es-ES" w:eastAsia="es-ES"/>
        </w:rPr>
      </w:pPr>
    </w:p>
    <w:p w14:paraId="071E1E3B" w14:textId="77777777" w:rsidR="00AB2DEF" w:rsidRPr="00B327EB" w:rsidRDefault="00AB2DEF" w:rsidP="00F36D7C">
      <w:pPr>
        <w:pStyle w:val="Prrafodelista"/>
        <w:numPr>
          <w:ilvl w:val="0"/>
          <w:numId w:val="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corta en un bono cero cupón, denominado en la moneda vendida y con una madurez residual igual al tiempo que resta para el cumplimiento del contrato.</w:t>
      </w:r>
    </w:p>
    <w:p w14:paraId="4B302EA6"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297A703D" w14:textId="77777777" w:rsidR="00AB2DEF" w:rsidRPr="00B327EB" w:rsidRDefault="00AB2DEF" w:rsidP="00F36D7C">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Estas posiciones deberán ser tenidas en cuenta para calcular la exposición al riesgo de tasa de cambio.</w:t>
      </w:r>
    </w:p>
    <w:p w14:paraId="06352887"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9308D7B" w14:textId="096816BF" w:rsidR="00AB2DEF" w:rsidRPr="00B327EB" w:rsidRDefault="00AB2DEF" w:rsidP="00623BC0">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Swaps de tasas de interés</w:t>
      </w:r>
      <w:r w:rsidR="00DF07B3" w:rsidRPr="00B327EB">
        <w:rPr>
          <w:rFonts w:ascii="Arial" w:eastAsia="Times New Roman" w:hAnsi="Arial" w:cs="Arial"/>
          <w:sz w:val="18"/>
          <w:szCs w:val="18"/>
          <w:lang w:val="es-ES" w:eastAsia="es-ES"/>
        </w:rPr>
        <w:t>.</w:t>
      </w:r>
    </w:p>
    <w:p w14:paraId="51140DF3"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6B07FCD" w14:textId="77777777"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Estos instrumentos deberán ser tratados como dos posiciones nocionales en bonos subyacentes en las tasas de interés respectivas. En este sentido la posición se descompone en:</w:t>
      </w:r>
    </w:p>
    <w:p w14:paraId="5489880C"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2C23A654" w14:textId="3F9FD2F3" w:rsidR="00AB2DEF" w:rsidRDefault="00AB2DEF" w:rsidP="00623BC0">
      <w:pPr>
        <w:pStyle w:val="Prrafodelista"/>
        <w:numPr>
          <w:ilvl w:val="0"/>
          <w:numId w:val="20"/>
        </w:numPr>
        <w:spacing w:after="0" w:line="240" w:lineRule="auto"/>
        <w:ind w:left="284" w:firstLine="0"/>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un título pactado a la tasa de interés que recibe la entidad.</w:t>
      </w:r>
    </w:p>
    <w:p w14:paraId="716C9994" w14:textId="77777777" w:rsidR="00F84982" w:rsidRPr="00B327EB" w:rsidRDefault="00F84982" w:rsidP="00F84982">
      <w:pPr>
        <w:pStyle w:val="Prrafodelista"/>
        <w:spacing w:after="0" w:line="240" w:lineRule="auto"/>
        <w:ind w:left="284"/>
        <w:jc w:val="both"/>
        <w:rPr>
          <w:rFonts w:ascii="Arial" w:eastAsia="Times New Roman" w:hAnsi="Arial" w:cs="Arial"/>
          <w:sz w:val="18"/>
          <w:szCs w:val="18"/>
          <w:lang w:val="es-ES" w:eastAsia="es-ES"/>
        </w:rPr>
      </w:pPr>
    </w:p>
    <w:p w14:paraId="6EB0A999" w14:textId="77777777" w:rsidR="00AB2DEF" w:rsidRPr="00B327EB" w:rsidRDefault="00AB2DEF" w:rsidP="00623BC0">
      <w:pPr>
        <w:pStyle w:val="Prrafodelista"/>
        <w:numPr>
          <w:ilvl w:val="0"/>
          <w:numId w:val="20"/>
        </w:numPr>
        <w:spacing w:after="0" w:line="240" w:lineRule="auto"/>
        <w:ind w:left="284" w:firstLine="0"/>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corta en un título pactado a la tasa de interés que la entidad paga.</w:t>
      </w:r>
    </w:p>
    <w:p w14:paraId="7CEA5225"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0A673E8F" w14:textId="71A0F157"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 tasa de interés del instrumento subyacente sea fija, la madurez residual correspondiente será igual a la duración del contrato.</w:t>
      </w:r>
    </w:p>
    <w:p w14:paraId="4657983B"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5D79DAF" w14:textId="64E89E29"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los casos en que la tasa de interés sea variable, la duración del flujo se </w:t>
      </w:r>
      <w:r w:rsidR="00DF2B76" w:rsidRPr="00B327EB">
        <w:rPr>
          <w:rFonts w:ascii="Arial" w:eastAsia="Times New Roman" w:hAnsi="Arial" w:cs="Arial"/>
          <w:sz w:val="18"/>
          <w:szCs w:val="18"/>
          <w:lang w:val="es-ES" w:eastAsia="es-ES"/>
        </w:rPr>
        <w:t>debe calcular</w:t>
      </w:r>
      <w:r w:rsidRPr="00B327EB">
        <w:rPr>
          <w:rFonts w:ascii="Arial" w:eastAsia="Times New Roman" w:hAnsi="Arial" w:cs="Arial"/>
          <w:sz w:val="18"/>
          <w:szCs w:val="18"/>
          <w:lang w:val="es-ES" w:eastAsia="es-ES"/>
        </w:rPr>
        <w:t xml:space="preserve"> </w:t>
      </w:r>
      <w:r w:rsidR="00823C5F" w:rsidRPr="00B327EB">
        <w:rPr>
          <w:rFonts w:ascii="Arial" w:eastAsia="Times New Roman" w:hAnsi="Arial" w:cs="Arial"/>
          <w:sz w:val="18"/>
          <w:szCs w:val="18"/>
          <w:lang w:val="es-ES" w:eastAsia="es-ES"/>
        </w:rPr>
        <w:t>de acuerdo con</w:t>
      </w:r>
      <w:r w:rsidR="00903E18" w:rsidRPr="00B327EB">
        <w:rPr>
          <w:rFonts w:ascii="Arial" w:eastAsia="Times New Roman" w:hAnsi="Arial" w:cs="Arial"/>
          <w:sz w:val="18"/>
          <w:szCs w:val="18"/>
          <w:lang w:val="es-ES" w:eastAsia="es-ES"/>
        </w:rPr>
        <w:t xml:space="preserve"> lo estipulado en el numeral </w:t>
      </w:r>
      <w:r w:rsidR="004B55FF" w:rsidRPr="00B327EB">
        <w:rPr>
          <w:rFonts w:ascii="Arial" w:eastAsia="Times New Roman" w:hAnsi="Arial" w:cs="Arial"/>
          <w:sz w:val="18"/>
          <w:szCs w:val="18"/>
          <w:lang w:val="es-ES" w:eastAsia="es-ES"/>
        </w:rPr>
        <w:t>2.2.1</w:t>
      </w:r>
      <w:r w:rsidRPr="00B327EB">
        <w:rPr>
          <w:rFonts w:ascii="Arial" w:eastAsia="Times New Roman" w:hAnsi="Arial" w:cs="Arial"/>
          <w:sz w:val="18"/>
          <w:szCs w:val="18"/>
          <w:lang w:val="es-ES" w:eastAsia="es-ES"/>
        </w:rPr>
        <w:t xml:space="preserve"> del presente anexo para dichas posiciones.</w:t>
      </w:r>
    </w:p>
    <w:p w14:paraId="79A16410"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2BC92315" w14:textId="77777777"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En el caso de swaps que involucren posiciones en distintas monedas (</w:t>
      </w:r>
      <w:r w:rsidRPr="00B327EB">
        <w:rPr>
          <w:rFonts w:ascii="Arial" w:eastAsia="Times New Roman" w:hAnsi="Arial" w:cs="Arial"/>
          <w:i/>
          <w:sz w:val="18"/>
          <w:szCs w:val="18"/>
          <w:lang w:val="es-ES" w:eastAsia="es-ES"/>
        </w:rPr>
        <w:t>cross currency swaps</w:t>
      </w:r>
      <w:r w:rsidRPr="00B327EB">
        <w:rPr>
          <w:rFonts w:ascii="Arial" w:eastAsia="Times New Roman" w:hAnsi="Arial" w:cs="Arial"/>
          <w:sz w:val="18"/>
          <w:szCs w:val="18"/>
          <w:lang w:val="es-ES" w:eastAsia="es-ES"/>
        </w:rPr>
        <w:t>) cada una de las posiciones deberá ser clasificada en la respectiva escalera para el cálculo del riesgo de tasa de interés y adicionalmente deberá ser tenida en cuenta para calcular la exposición al riesgo de tasa de cambio.</w:t>
      </w:r>
    </w:p>
    <w:p w14:paraId="796C532F" w14:textId="77777777" w:rsidR="00354640" w:rsidRPr="00B327EB" w:rsidRDefault="00354640" w:rsidP="00623BC0">
      <w:pPr>
        <w:spacing w:after="0" w:line="240" w:lineRule="auto"/>
        <w:ind w:left="284"/>
        <w:jc w:val="both"/>
        <w:rPr>
          <w:rFonts w:ascii="Arial" w:eastAsia="Times New Roman" w:hAnsi="Arial" w:cs="Arial"/>
          <w:sz w:val="18"/>
          <w:szCs w:val="18"/>
          <w:lang w:val="es-ES" w:eastAsia="es-ES"/>
        </w:rPr>
      </w:pPr>
    </w:p>
    <w:p w14:paraId="5E53B4AB" w14:textId="2411251A" w:rsidR="00AB2DEF" w:rsidRPr="00B327EB" w:rsidRDefault="00AB2DEF" w:rsidP="00623BC0">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efectos de los futuros cuya estructura se asemeje a intercambios de flujos calculados sobre tasas de interés les será aplicable lo establecido en el presente literal (i.e. futuro sobre IBR).</w:t>
      </w:r>
    </w:p>
    <w:p w14:paraId="40C91370"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C46EE5E" w14:textId="37AA1DC1"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Futuros, Forwards y Operaciones a Plazo sobre acciones (o índices de acciones)</w:t>
      </w:r>
      <w:r w:rsidR="00DF07B3" w:rsidRPr="00B327EB">
        <w:rPr>
          <w:rFonts w:ascii="Arial" w:eastAsia="Times New Roman" w:hAnsi="Arial" w:cs="Arial"/>
          <w:sz w:val="18"/>
          <w:szCs w:val="18"/>
          <w:lang w:val="es-ES" w:eastAsia="es-ES"/>
        </w:rPr>
        <w:t>.</w:t>
      </w:r>
    </w:p>
    <w:p w14:paraId="1A736561"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8337BB7"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Estas operaciones deben descomponerse en 2 posiciones nocionales, una correspondiente a la acción (o índice de acciones) subyacente y otra correspondiente a un bono cero cupón con madurez residual igual al tiempo remanente para el cumplimiento del contrato.</w:t>
      </w:r>
    </w:p>
    <w:p w14:paraId="4F31C1E3"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4A1E0714" w14:textId="4C6E10D6"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 entidad tenga una posición larga en las operaciones</w:t>
      </w:r>
      <w:r w:rsidR="00885E5D"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que trata el presente literal (es decir que se compromete a comprar una acción o índice de acciones a un precio previamente establecido en un punto de tiempo en el futuro), esta posición se descompone en:</w:t>
      </w:r>
    </w:p>
    <w:p w14:paraId="5813D758"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7D025DCF" w14:textId="77777777" w:rsidR="00DF2B76" w:rsidRPr="00B327EB" w:rsidRDefault="00AB2DEF" w:rsidP="00261664">
      <w:pPr>
        <w:pStyle w:val="Prrafodelista"/>
        <w:numPr>
          <w:ilvl w:val="0"/>
          <w:numId w:val="7"/>
        </w:numPr>
        <w:spacing w:after="0" w:line="240" w:lineRule="auto"/>
        <w:ind w:left="284" w:firstLine="0"/>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posición nocional larga en el título subyacente.</w:t>
      </w:r>
    </w:p>
    <w:p w14:paraId="5ED5BC58" w14:textId="77777777" w:rsidR="00DF2B76" w:rsidRPr="00B327EB" w:rsidRDefault="00DF2B76" w:rsidP="00261664">
      <w:pPr>
        <w:pStyle w:val="Prrafodelista"/>
        <w:spacing w:after="0" w:line="240" w:lineRule="auto"/>
        <w:ind w:left="284"/>
        <w:jc w:val="both"/>
        <w:rPr>
          <w:rFonts w:ascii="Arial" w:eastAsia="Times New Roman" w:hAnsi="Arial" w:cs="Arial"/>
          <w:sz w:val="18"/>
          <w:szCs w:val="18"/>
          <w:lang w:val="es-ES" w:eastAsia="es-ES"/>
        </w:rPr>
      </w:pPr>
    </w:p>
    <w:p w14:paraId="48A75668" w14:textId="77777777" w:rsidR="00AB2DEF" w:rsidRPr="00B327EB" w:rsidRDefault="00AB2DEF" w:rsidP="00067851">
      <w:pPr>
        <w:pStyle w:val="Prrafodelista"/>
        <w:numPr>
          <w:ilvl w:val="0"/>
          <w:numId w:val="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 Una posición nocional corta en un bono cero cupón con madurez residual igual al tiempo que resta para el cumplimiento del contrato (el valor nominal de esta posición corresponde al precio pactado).</w:t>
      </w:r>
    </w:p>
    <w:p w14:paraId="08B8BA31"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56AAB6D6"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el caso contrario (posición corta en el futuro, el forward o la operación a plazo), la primera posición nocional descrita es corta y la segunda larga.</w:t>
      </w:r>
    </w:p>
    <w:p w14:paraId="6C1E15CC"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6E350E86" w14:textId="6E4CB2C8" w:rsidR="00AB2DEF"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Sólo la posición en el bono cero cupón computará en el cálculo de riesgo de tasa de interés. La posición en acciones será incluida en el módulo de Riesgo de precio de acciones.</w:t>
      </w:r>
    </w:p>
    <w:p w14:paraId="0F7391C7" w14:textId="77777777" w:rsidR="00F84982" w:rsidRPr="00B327EB" w:rsidRDefault="00F84982" w:rsidP="00261664">
      <w:pPr>
        <w:spacing w:after="0" w:line="240" w:lineRule="auto"/>
        <w:ind w:left="284"/>
        <w:jc w:val="both"/>
        <w:rPr>
          <w:rFonts w:ascii="Arial" w:eastAsia="Times New Roman" w:hAnsi="Arial" w:cs="Arial"/>
          <w:sz w:val="18"/>
          <w:szCs w:val="18"/>
          <w:lang w:val="es-ES" w:eastAsia="es-ES"/>
        </w:rPr>
      </w:pPr>
    </w:p>
    <w:p w14:paraId="047B2245" w14:textId="26A1EB44"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Operaciones Carrusel</w:t>
      </w:r>
      <w:r w:rsidR="00DF07B3" w:rsidRPr="00B327EB">
        <w:rPr>
          <w:rFonts w:ascii="Arial" w:eastAsia="Times New Roman" w:hAnsi="Arial" w:cs="Arial"/>
          <w:sz w:val="18"/>
          <w:szCs w:val="18"/>
          <w:lang w:val="es-ES" w:eastAsia="es-ES"/>
        </w:rPr>
        <w:t>.</w:t>
      </w:r>
    </w:p>
    <w:p w14:paraId="3484C393"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2DE60A6" w14:textId="6D8FBCC8"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términos financieros, un carrusel consiste en una secuencia de operaciones de compra y venta de un título a futuro. Por lo anterior, para efectos de la exposición a riesgos de mercado de que trata el presente </w:t>
      </w:r>
      <w:r w:rsidR="00144E92" w:rsidRPr="00B327EB">
        <w:rPr>
          <w:rFonts w:ascii="Arial" w:eastAsia="Times New Roman" w:hAnsi="Arial" w:cs="Arial"/>
          <w:sz w:val="18"/>
          <w:szCs w:val="18"/>
          <w:lang w:val="es-ES" w:eastAsia="es-ES"/>
        </w:rPr>
        <w:t>C</w:t>
      </w:r>
      <w:r w:rsidRPr="00B327EB">
        <w:rPr>
          <w:rFonts w:ascii="Arial" w:eastAsia="Times New Roman" w:hAnsi="Arial" w:cs="Arial"/>
          <w:sz w:val="18"/>
          <w:szCs w:val="18"/>
          <w:lang w:val="es-ES" w:eastAsia="es-ES"/>
        </w:rPr>
        <w:t>apítulo, estas operaciones debe</w:t>
      </w:r>
      <w:r w:rsidR="009A0A72" w:rsidRPr="00B327EB">
        <w:rPr>
          <w:rFonts w:ascii="Arial" w:eastAsia="Times New Roman" w:hAnsi="Arial" w:cs="Arial"/>
          <w:sz w:val="18"/>
          <w:szCs w:val="18"/>
          <w:lang w:val="es-ES" w:eastAsia="es-ES"/>
        </w:rPr>
        <w:t>n</w:t>
      </w:r>
      <w:r w:rsidRPr="00B327EB">
        <w:rPr>
          <w:rFonts w:ascii="Arial" w:eastAsia="Times New Roman" w:hAnsi="Arial" w:cs="Arial"/>
          <w:sz w:val="18"/>
          <w:szCs w:val="18"/>
          <w:lang w:val="es-ES" w:eastAsia="es-ES"/>
        </w:rPr>
        <w:t xml:space="preserve"> ser tratadas como una serie de operaciones de compra y venta a futuro del título subyacente. Cada una de estas operaciones deberá ser tratada </w:t>
      </w:r>
      <w:r w:rsidR="00823C5F"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lo estipulado en el literal b del presente numeral.</w:t>
      </w:r>
    </w:p>
    <w:p w14:paraId="5E623677"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82E80E5" w14:textId="689C3801"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Opciones</w:t>
      </w:r>
      <w:r w:rsidR="00DF07B3" w:rsidRPr="00B327EB">
        <w:rPr>
          <w:rFonts w:ascii="Arial" w:eastAsia="Times New Roman" w:hAnsi="Arial" w:cs="Arial"/>
          <w:sz w:val="18"/>
          <w:szCs w:val="18"/>
          <w:lang w:val="es-ES" w:eastAsia="es-ES"/>
        </w:rPr>
        <w:t>.</w:t>
      </w:r>
    </w:p>
    <w:p w14:paraId="6CC73F13" w14:textId="77777777" w:rsidR="00354640" w:rsidRPr="00B327EB" w:rsidRDefault="00354640" w:rsidP="00261664">
      <w:pPr>
        <w:spacing w:after="0" w:line="240" w:lineRule="auto"/>
        <w:ind w:left="284" w:hanging="284"/>
        <w:jc w:val="both"/>
        <w:rPr>
          <w:rFonts w:ascii="Arial" w:eastAsia="Times New Roman" w:hAnsi="Arial" w:cs="Arial"/>
          <w:sz w:val="18"/>
          <w:szCs w:val="18"/>
          <w:lang w:val="es-ES" w:eastAsia="es-ES"/>
        </w:rPr>
      </w:pPr>
    </w:p>
    <w:p w14:paraId="1B139AB3" w14:textId="3EB2A84D"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tratamiento de estas operaciones se descri</w:t>
      </w:r>
      <w:r w:rsidR="009A0A72" w:rsidRPr="00B327EB">
        <w:rPr>
          <w:rFonts w:ascii="Arial" w:eastAsia="Times New Roman" w:hAnsi="Arial" w:cs="Arial"/>
          <w:sz w:val="18"/>
          <w:szCs w:val="18"/>
          <w:lang w:val="es-ES" w:eastAsia="es-ES"/>
        </w:rPr>
        <w:t>be</w:t>
      </w:r>
      <w:r w:rsidRPr="00B327EB">
        <w:rPr>
          <w:rFonts w:ascii="Arial" w:eastAsia="Times New Roman" w:hAnsi="Arial" w:cs="Arial"/>
          <w:sz w:val="18"/>
          <w:szCs w:val="18"/>
          <w:lang w:val="es-ES" w:eastAsia="es-ES"/>
        </w:rPr>
        <w:t xml:space="preserve"> en </w:t>
      </w:r>
      <w:r w:rsidR="00823C5F" w:rsidRPr="00B327EB">
        <w:rPr>
          <w:rFonts w:ascii="Arial" w:eastAsia="Times New Roman" w:hAnsi="Arial" w:cs="Arial"/>
          <w:sz w:val="18"/>
          <w:szCs w:val="18"/>
          <w:lang w:val="es-ES" w:eastAsia="es-ES"/>
        </w:rPr>
        <w:t>el subnumeral</w:t>
      </w:r>
      <w:r w:rsidRPr="00B327EB">
        <w:rPr>
          <w:rFonts w:ascii="Arial" w:eastAsia="Times New Roman" w:hAnsi="Arial" w:cs="Arial"/>
          <w:sz w:val="18"/>
          <w:szCs w:val="18"/>
          <w:lang w:val="es-ES" w:eastAsia="es-ES"/>
        </w:rPr>
        <w:t xml:space="preserve"> </w:t>
      </w:r>
      <w:r w:rsidR="004B55FF" w:rsidRPr="00B327EB">
        <w:rPr>
          <w:rFonts w:ascii="Arial" w:eastAsia="Times New Roman" w:hAnsi="Arial" w:cs="Arial"/>
          <w:sz w:val="18"/>
          <w:szCs w:val="18"/>
          <w:lang w:val="es-ES" w:eastAsia="es-ES"/>
        </w:rPr>
        <w:t xml:space="preserve">2.6 </w:t>
      </w:r>
      <w:r w:rsidRPr="00B327EB">
        <w:rPr>
          <w:rFonts w:ascii="Arial" w:eastAsia="Times New Roman" w:hAnsi="Arial" w:cs="Arial"/>
          <w:sz w:val="18"/>
          <w:szCs w:val="18"/>
          <w:lang w:val="es-ES" w:eastAsia="es-ES"/>
        </w:rPr>
        <w:t>del presente anexo.</w:t>
      </w:r>
    </w:p>
    <w:p w14:paraId="5A2296C6"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valorar aquellas posiciones nocionales asimiladas a bonos cero cupón, se deberán seguir las siguientes indicaciones:</w:t>
      </w:r>
    </w:p>
    <w:p w14:paraId="1F853545"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7BFF0A49" w14:textId="226EB947" w:rsidR="00DF2B76" w:rsidRPr="00B327EB" w:rsidRDefault="00AB2DEF" w:rsidP="00F84982">
      <w:pPr>
        <w:pStyle w:val="Prrafodelista"/>
        <w:numPr>
          <w:ilvl w:val="0"/>
          <w:numId w:val="8"/>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 posición se encuentre en moneda legal, se deberá utilizar la curva cero cupón para títulos TES tasa fija en pesos, suministrada por el proveedor de precios para valoración designado como oficial para el segmento correspondiente</w:t>
      </w:r>
    </w:p>
    <w:p w14:paraId="023A82FE" w14:textId="77777777" w:rsidR="00DF2B76" w:rsidRPr="00B327EB" w:rsidRDefault="00DF2B76" w:rsidP="00F84982">
      <w:pPr>
        <w:pStyle w:val="Prrafodelista"/>
        <w:spacing w:after="0" w:line="240" w:lineRule="auto"/>
        <w:ind w:left="567" w:hanging="283"/>
        <w:jc w:val="both"/>
        <w:rPr>
          <w:rFonts w:ascii="Arial" w:eastAsia="Times New Roman" w:hAnsi="Arial" w:cs="Arial"/>
          <w:sz w:val="18"/>
          <w:szCs w:val="18"/>
          <w:lang w:val="es-ES" w:eastAsia="es-ES"/>
        </w:rPr>
      </w:pPr>
    </w:p>
    <w:p w14:paraId="19BFF01D" w14:textId="77777777" w:rsidR="00DF2B76" w:rsidRPr="00B327EB" w:rsidRDefault="00AB2DEF" w:rsidP="00F84982">
      <w:pPr>
        <w:pStyle w:val="Prrafodelista"/>
        <w:numPr>
          <w:ilvl w:val="0"/>
          <w:numId w:val="8"/>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Cuando la posición se encuentre denominada en UVR se deberá utilizar la curva cero cupón para títulos TES en UVR, suministrada por el proveedor de precios para valoración designado como oficial para el segmento correspondiente; y </w:t>
      </w:r>
    </w:p>
    <w:p w14:paraId="736B57F5" w14:textId="77777777" w:rsidR="00DF2B76" w:rsidRPr="00B327EB" w:rsidRDefault="00DF2B76" w:rsidP="00F84982">
      <w:pPr>
        <w:pStyle w:val="Prrafodelista"/>
        <w:spacing w:after="0" w:line="240" w:lineRule="auto"/>
        <w:ind w:left="567" w:hanging="283"/>
        <w:rPr>
          <w:rFonts w:ascii="Arial" w:eastAsia="Times New Roman" w:hAnsi="Arial" w:cs="Arial"/>
          <w:sz w:val="18"/>
          <w:szCs w:val="18"/>
          <w:lang w:val="es-ES" w:eastAsia="es-ES"/>
        </w:rPr>
      </w:pPr>
    </w:p>
    <w:p w14:paraId="781A5786" w14:textId="77777777" w:rsidR="00AB2DEF" w:rsidRPr="00B327EB" w:rsidRDefault="00AB2DEF" w:rsidP="00F84982">
      <w:pPr>
        <w:pStyle w:val="Prrafodelista"/>
        <w:numPr>
          <w:ilvl w:val="0"/>
          <w:numId w:val="8"/>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 Para el caso de posiciones denominadas en moneda extranjera, la tasa de descuento aplicable es la tasa “</w:t>
      </w:r>
      <w:r w:rsidRPr="00B327EB">
        <w:rPr>
          <w:rFonts w:ascii="Arial" w:eastAsia="Times New Roman" w:hAnsi="Arial" w:cs="Arial"/>
          <w:i/>
          <w:sz w:val="18"/>
          <w:szCs w:val="18"/>
          <w:lang w:val="es-ES" w:eastAsia="es-ES"/>
        </w:rPr>
        <w:t>London Interbank Offer Rate</w:t>
      </w:r>
      <w:r w:rsidRPr="00B327EB">
        <w:rPr>
          <w:rFonts w:ascii="Arial" w:eastAsia="Times New Roman" w:hAnsi="Arial" w:cs="Arial"/>
          <w:sz w:val="18"/>
          <w:szCs w:val="18"/>
          <w:lang w:val="es-ES" w:eastAsia="es-ES"/>
        </w:rPr>
        <w:t>” (LIBOR).</w:t>
      </w:r>
    </w:p>
    <w:p w14:paraId="00A865B0" w14:textId="77777777" w:rsidR="00354640" w:rsidRPr="00B327EB" w:rsidRDefault="00354640" w:rsidP="00261664">
      <w:pPr>
        <w:spacing w:after="0" w:line="240" w:lineRule="auto"/>
        <w:ind w:left="284" w:hanging="284"/>
        <w:jc w:val="both"/>
        <w:rPr>
          <w:rFonts w:ascii="Arial" w:eastAsia="Times New Roman" w:hAnsi="Arial" w:cs="Arial"/>
          <w:sz w:val="18"/>
          <w:szCs w:val="18"/>
          <w:lang w:val="es-ES" w:eastAsia="es-ES"/>
        </w:rPr>
      </w:pPr>
    </w:p>
    <w:p w14:paraId="259CA3E5" w14:textId="50601558" w:rsidR="00AB2DEF" w:rsidRPr="00B327EB" w:rsidRDefault="00AB2DEF" w:rsidP="00261664">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Notas estructuradas</w:t>
      </w:r>
      <w:r w:rsidR="00DF07B3" w:rsidRPr="00B327EB">
        <w:rPr>
          <w:rFonts w:ascii="Arial" w:eastAsia="Times New Roman" w:hAnsi="Arial" w:cs="Arial"/>
          <w:sz w:val="18"/>
          <w:szCs w:val="18"/>
          <w:lang w:val="es-ES" w:eastAsia="es-ES"/>
        </w:rPr>
        <w:t>.</w:t>
      </w:r>
    </w:p>
    <w:p w14:paraId="79500C80" w14:textId="77777777" w:rsidR="00354640" w:rsidRPr="00B327EB" w:rsidRDefault="00354640" w:rsidP="00261664">
      <w:pPr>
        <w:spacing w:after="0" w:line="240" w:lineRule="auto"/>
        <w:ind w:left="284" w:hanging="284"/>
        <w:jc w:val="both"/>
        <w:rPr>
          <w:rFonts w:ascii="Arial" w:eastAsia="Times New Roman" w:hAnsi="Arial" w:cs="Arial"/>
          <w:sz w:val="18"/>
          <w:szCs w:val="18"/>
          <w:lang w:val="es-ES" w:eastAsia="es-ES"/>
        </w:rPr>
      </w:pPr>
    </w:p>
    <w:p w14:paraId="0548578B"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riesgo de mercado de las notas estructuradas que puedan descomponerse en instrumentos de renta fija o variable e instrumentos derivados deberá calcularse para cada uno de sus componentes.</w:t>
      </w:r>
    </w:p>
    <w:p w14:paraId="0AA2EDF0"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435330AF" w14:textId="36EAD77C"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se trate de notas estructuradas que, de acuerdo con su valoración, puedan descomponerse, el riesgo de mercado deberá calcularse teniendo en cuenta: (i)  el módulo de tasa de interés, de acuerdo con las r</w:t>
      </w:r>
      <w:r w:rsidR="00903E18" w:rsidRPr="00B327EB">
        <w:rPr>
          <w:rFonts w:ascii="Arial" w:eastAsia="Times New Roman" w:hAnsi="Arial" w:cs="Arial"/>
          <w:sz w:val="18"/>
          <w:szCs w:val="18"/>
          <w:lang w:val="es-ES" w:eastAsia="es-ES"/>
        </w:rPr>
        <w:t xml:space="preserve">eglas contenidas en el </w:t>
      </w:r>
      <w:r w:rsidR="008A1F5F" w:rsidRPr="00B327EB">
        <w:rPr>
          <w:rFonts w:ascii="Arial" w:eastAsia="Times New Roman" w:hAnsi="Arial" w:cs="Arial"/>
          <w:sz w:val="18"/>
          <w:szCs w:val="18"/>
          <w:lang w:val="es-ES" w:eastAsia="es-ES"/>
        </w:rPr>
        <w:t>sub</w:t>
      </w:r>
      <w:r w:rsidR="00903E18" w:rsidRPr="00B327EB">
        <w:rPr>
          <w:rFonts w:ascii="Arial" w:eastAsia="Times New Roman" w:hAnsi="Arial" w:cs="Arial"/>
          <w:sz w:val="18"/>
          <w:szCs w:val="18"/>
          <w:lang w:val="es-ES" w:eastAsia="es-ES"/>
        </w:rPr>
        <w:t xml:space="preserve">numeral </w:t>
      </w:r>
      <w:r w:rsidR="004B55FF" w:rsidRPr="00B327EB">
        <w:rPr>
          <w:rFonts w:ascii="Arial" w:eastAsia="Times New Roman" w:hAnsi="Arial" w:cs="Arial"/>
          <w:sz w:val="18"/>
          <w:szCs w:val="18"/>
          <w:lang w:val="es-ES" w:eastAsia="es-ES"/>
        </w:rPr>
        <w:t>2.2</w:t>
      </w:r>
      <w:r w:rsidR="00A03074"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de este anexo, cuando se trate de instrumentos de renta fija; (ii) el factor de riesgo de tasa de cambio, de acuerdo con las r</w:t>
      </w:r>
      <w:r w:rsidR="00903E18" w:rsidRPr="00B327EB">
        <w:rPr>
          <w:rFonts w:ascii="Arial" w:eastAsia="Times New Roman" w:hAnsi="Arial" w:cs="Arial"/>
          <w:sz w:val="18"/>
          <w:szCs w:val="18"/>
          <w:lang w:val="es-ES" w:eastAsia="es-ES"/>
        </w:rPr>
        <w:t xml:space="preserve">eglas contenidas en el </w:t>
      </w:r>
      <w:r w:rsidR="00421395" w:rsidRPr="00B327EB">
        <w:rPr>
          <w:rFonts w:ascii="Arial" w:eastAsia="Times New Roman" w:hAnsi="Arial" w:cs="Arial"/>
          <w:sz w:val="18"/>
          <w:szCs w:val="18"/>
          <w:lang w:val="es-ES" w:eastAsia="es-ES"/>
        </w:rPr>
        <w:t>sub</w:t>
      </w:r>
      <w:r w:rsidR="00903E18" w:rsidRPr="00B327EB">
        <w:rPr>
          <w:rFonts w:ascii="Arial" w:eastAsia="Times New Roman" w:hAnsi="Arial" w:cs="Arial"/>
          <w:sz w:val="18"/>
          <w:szCs w:val="18"/>
          <w:lang w:val="es-ES" w:eastAsia="es-ES"/>
        </w:rPr>
        <w:t xml:space="preserve">numeral </w:t>
      </w:r>
      <w:r w:rsidR="004B55FF" w:rsidRPr="00B327EB">
        <w:rPr>
          <w:rFonts w:ascii="Arial" w:eastAsia="Times New Roman" w:hAnsi="Arial" w:cs="Arial"/>
          <w:sz w:val="18"/>
          <w:szCs w:val="18"/>
          <w:lang w:val="es-ES" w:eastAsia="es-ES"/>
        </w:rPr>
        <w:t>2.3</w:t>
      </w:r>
      <w:r w:rsidRPr="00B327EB">
        <w:rPr>
          <w:rFonts w:ascii="Arial" w:eastAsia="Times New Roman" w:hAnsi="Arial" w:cs="Arial"/>
          <w:sz w:val="18"/>
          <w:szCs w:val="18"/>
          <w:lang w:val="es-ES" w:eastAsia="es-ES"/>
        </w:rPr>
        <w:t xml:space="preserve"> del presente anexo,; (iii) el</w:t>
      </w:r>
      <w:r w:rsidRPr="00B327EB" w:rsidDel="00D60341">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factor de riesgo de precio de acciones o índice accionario, de acuerdo con las r</w:t>
      </w:r>
      <w:r w:rsidR="00903E18" w:rsidRPr="00B327EB">
        <w:rPr>
          <w:rFonts w:ascii="Arial" w:eastAsia="Times New Roman" w:hAnsi="Arial" w:cs="Arial"/>
          <w:sz w:val="18"/>
          <w:szCs w:val="18"/>
          <w:lang w:val="es-ES" w:eastAsia="es-ES"/>
        </w:rPr>
        <w:t xml:space="preserve">eglas contenidas en el </w:t>
      </w:r>
      <w:r w:rsidR="002622D3" w:rsidRPr="00B327EB">
        <w:rPr>
          <w:rFonts w:ascii="Arial" w:eastAsia="Times New Roman" w:hAnsi="Arial" w:cs="Arial"/>
          <w:sz w:val="18"/>
          <w:szCs w:val="18"/>
          <w:lang w:val="es-ES" w:eastAsia="es-ES"/>
        </w:rPr>
        <w:t>sub</w:t>
      </w:r>
      <w:r w:rsidR="00903E18" w:rsidRPr="00B327EB">
        <w:rPr>
          <w:rFonts w:ascii="Arial" w:eastAsia="Times New Roman" w:hAnsi="Arial" w:cs="Arial"/>
          <w:sz w:val="18"/>
          <w:szCs w:val="18"/>
          <w:lang w:val="es-ES" w:eastAsia="es-ES"/>
        </w:rPr>
        <w:t xml:space="preserve">numeral </w:t>
      </w:r>
      <w:r w:rsidR="004B55FF" w:rsidRPr="00B327EB">
        <w:rPr>
          <w:rFonts w:ascii="Arial" w:eastAsia="Times New Roman" w:hAnsi="Arial" w:cs="Arial"/>
          <w:sz w:val="18"/>
          <w:szCs w:val="18"/>
          <w:lang w:val="es-ES" w:eastAsia="es-ES"/>
        </w:rPr>
        <w:t>2.4</w:t>
      </w:r>
      <w:r w:rsidRPr="00B327EB">
        <w:rPr>
          <w:rFonts w:ascii="Arial" w:eastAsia="Times New Roman" w:hAnsi="Arial" w:cs="Arial"/>
          <w:sz w:val="18"/>
          <w:szCs w:val="18"/>
          <w:lang w:val="es-ES" w:eastAsia="es-ES"/>
        </w:rPr>
        <w:t xml:space="preserve"> del presente anexo, para el caso de instrumentos de renta variable</w:t>
      </w:r>
      <w:r w:rsidR="00D60341" w:rsidRPr="00B327EB">
        <w:rPr>
          <w:rFonts w:ascii="Arial" w:eastAsia="Times New Roman" w:hAnsi="Arial" w:cs="Arial"/>
          <w:sz w:val="18"/>
          <w:szCs w:val="18"/>
          <w:lang w:val="es-ES" w:eastAsia="es-ES"/>
        </w:rPr>
        <w:t xml:space="preserve">; </w:t>
      </w:r>
      <w:r w:rsidR="003B73C0" w:rsidRPr="00B327EB">
        <w:rPr>
          <w:rFonts w:ascii="Arial" w:eastAsia="Times New Roman" w:hAnsi="Arial" w:cs="Arial"/>
          <w:sz w:val="18"/>
          <w:szCs w:val="18"/>
          <w:lang w:val="es-ES" w:eastAsia="es-ES"/>
        </w:rPr>
        <w:t xml:space="preserve">y (iv) el factor de riesgo de operaciones de credit default swaps, de acuerdo con las reglas contenidas en el </w:t>
      </w:r>
      <w:r w:rsidR="00421395" w:rsidRPr="00B327EB">
        <w:rPr>
          <w:rFonts w:ascii="Arial" w:eastAsia="Times New Roman" w:hAnsi="Arial" w:cs="Arial"/>
          <w:sz w:val="18"/>
          <w:szCs w:val="18"/>
          <w:lang w:val="es-ES" w:eastAsia="es-ES"/>
        </w:rPr>
        <w:t>sub</w:t>
      </w:r>
      <w:r w:rsidR="003B73C0" w:rsidRPr="00B327EB">
        <w:rPr>
          <w:rFonts w:ascii="Arial" w:eastAsia="Times New Roman" w:hAnsi="Arial" w:cs="Arial"/>
          <w:sz w:val="18"/>
          <w:szCs w:val="18"/>
          <w:lang w:val="es-ES" w:eastAsia="es-ES"/>
        </w:rPr>
        <w:t xml:space="preserve">numeral </w:t>
      </w:r>
      <w:r w:rsidR="00D15DCF" w:rsidRPr="00B327EB">
        <w:rPr>
          <w:rFonts w:ascii="Arial" w:eastAsia="Times New Roman" w:hAnsi="Arial" w:cs="Arial"/>
          <w:sz w:val="18"/>
          <w:szCs w:val="18"/>
          <w:lang w:val="es-ES" w:eastAsia="es-ES"/>
        </w:rPr>
        <w:t>2.</w:t>
      </w:r>
      <w:r w:rsidR="003B73C0" w:rsidRPr="00B327EB">
        <w:rPr>
          <w:rFonts w:ascii="Arial" w:eastAsia="Times New Roman" w:hAnsi="Arial" w:cs="Arial"/>
          <w:sz w:val="18"/>
          <w:szCs w:val="18"/>
          <w:lang w:val="es-ES" w:eastAsia="es-ES"/>
        </w:rPr>
        <w:t>7 del presente</w:t>
      </w:r>
      <w:r w:rsidR="002C27B2" w:rsidRPr="00B327EB">
        <w:rPr>
          <w:rFonts w:ascii="Arial" w:eastAsia="Times New Roman" w:hAnsi="Arial" w:cs="Arial"/>
          <w:sz w:val="18"/>
          <w:szCs w:val="18"/>
          <w:lang w:val="es-ES" w:eastAsia="es-ES"/>
        </w:rPr>
        <w:t xml:space="preserve"> Anexo</w:t>
      </w:r>
      <w:r w:rsidR="00D15DCF" w:rsidRPr="00B327EB">
        <w:rPr>
          <w:rFonts w:ascii="Arial" w:eastAsia="Times New Roman" w:hAnsi="Arial" w:cs="Arial"/>
          <w:sz w:val="18"/>
          <w:szCs w:val="18"/>
          <w:lang w:val="es-ES" w:eastAsia="es-ES"/>
        </w:rPr>
        <w:t>.</w:t>
      </w:r>
    </w:p>
    <w:p w14:paraId="1ADF5934"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697F8476" w14:textId="0DA77442"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Cuando se trate de notas estructuradas que, de acuerdo con su valoración, no puedan descomponerse y se asemejen en su comportamiento y estructura a una opción, el riesgo de mercado deberá calcularse de acuerdo con las reglas contenidas en el numeral </w:t>
      </w:r>
      <w:r w:rsidR="004B55FF" w:rsidRPr="00B327EB">
        <w:rPr>
          <w:rFonts w:ascii="Arial" w:eastAsia="Times New Roman" w:hAnsi="Arial" w:cs="Arial"/>
          <w:sz w:val="18"/>
          <w:szCs w:val="18"/>
          <w:lang w:val="es-ES" w:eastAsia="es-ES"/>
        </w:rPr>
        <w:t xml:space="preserve">2.6 </w:t>
      </w:r>
      <w:r w:rsidRPr="00B327EB">
        <w:rPr>
          <w:rFonts w:ascii="Arial" w:eastAsia="Times New Roman" w:hAnsi="Arial" w:cs="Arial"/>
          <w:sz w:val="18"/>
          <w:szCs w:val="18"/>
          <w:lang w:val="es-ES" w:eastAsia="es-ES"/>
        </w:rPr>
        <w:t>del presente anexo.</w:t>
      </w:r>
    </w:p>
    <w:p w14:paraId="632719BD"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5C09895E" w14:textId="22705F77" w:rsidR="00AB2DEF" w:rsidRPr="00B327EB" w:rsidRDefault="00AB2DEF" w:rsidP="003A51B5">
      <w:pPr>
        <w:pStyle w:val="Prrafodelista"/>
        <w:numPr>
          <w:ilvl w:val="0"/>
          <w:numId w:val="2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Inversiones clasificadas hasta el vencimiento entregadas como garantías</w:t>
      </w:r>
      <w:r w:rsidR="00DF07B3" w:rsidRPr="00B327EB">
        <w:rPr>
          <w:rFonts w:ascii="Arial" w:eastAsia="Times New Roman" w:hAnsi="Arial" w:cs="Arial"/>
          <w:sz w:val="18"/>
          <w:szCs w:val="18"/>
          <w:lang w:val="es-ES" w:eastAsia="es-ES"/>
        </w:rPr>
        <w:t>.</w:t>
      </w:r>
    </w:p>
    <w:p w14:paraId="0A7F68E3"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74E7C791"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inversiones que sean entregadas como garantías en una cámara de riesgo central de contraparte con el fin de respaldar el cumplimiento de las operaciones aceptadas para su compensación y liquidación deberán ser tenidas en cuenta para el cálculo de la exposición al riesgo de tasa de interés, por su valor de mercado, independientemente de su clasificación contable.</w:t>
      </w:r>
    </w:p>
    <w:p w14:paraId="5340AE18" w14:textId="77777777" w:rsidR="00354640" w:rsidRPr="00B327EB" w:rsidRDefault="00354640" w:rsidP="00261664">
      <w:pPr>
        <w:spacing w:after="0" w:line="240" w:lineRule="auto"/>
        <w:ind w:left="284"/>
        <w:jc w:val="both"/>
        <w:rPr>
          <w:rFonts w:ascii="Arial" w:eastAsia="Times New Roman" w:hAnsi="Arial" w:cs="Arial"/>
          <w:sz w:val="18"/>
          <w:szCs w:val="18"/>
          <w:lang w:val="es-ES" w:eastAsia="es-ES"/>
        </w:rPr>
      </w:pPr>
    </w:p>
    <w:p w14:paraId="7ADFFF82" w14:textId="77777777" w:rsidR="00AB2DEF" w:rsidRPr="00B327EB" w:rsidRDefault="00AB2DEF" w:rsidP="00261664">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Así mismo, en el evento en que estas inversiones estén expresadas en moneda diferente a moneda legal, deberán tenerse en cuenta adicionalmente en el cálculo de la exposición al riesgo de tasa de cambio.</w:t>
      </w:r>
    </w:p>
    <w:p w14:paraId="5149277E"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7E5A058D"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2.1.2 Operaciones de reporto o repo, operaciones simultáneas y operaciones de transferencia temporal de valores</w:t>
      </w:r>
    </w:p>
    <w:p w14:paraId="17FB6E78"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E93DEA4"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operaciones a que hace referencia el presente subnumeral generan un intercambio de valores y de dinero entre las partes, con el compromiso de reversarlo al final de la operación.</w:t>
      </w:r>
    </w:p>
    <w:p w14:paraId="0C52583F"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9D1337C" w14:textId="24C0EDC1"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En las operaciones de reporto o repo (repo) y simultáneas, el “Enajenante” le entrega valores al “Adquirente”, y al hacerlo le transfiere la propiedad de éstos. A cambio, el “Adquirente” le entrega dinero al “Enajenante”. De manera análoga, en las operaciones de transferencia temporal de valores el “Originador” le entrega valores al “Receptor” y, al hacerlo, le transfiere la propiedad de éstos. A cambio, el “Receptor” le entrega dinero o valores al “Originador”, en cuyo caso también se transfiere la propiedad.</w:t>
      </w:r>
    </w:p>
    <w:p w14:paraId="5AAFB25F"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19B10A32"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 xml:space="preserve">Dado que en las </w:t>
      </w:r>
      <w:r w:rsidR="00903E18" w:rsidRPr="00B327EB">
        <w:rPr>
          <w:rFonts w:ascii="Arial" w:eastAsia="Times New Roman" w:hAnsi="Arial" w:cs="Arial"/>
          <w:sz w:val="18"/>
          <w:szCs w:val="18"/>
          <w:lang w:val="es-ES" w:eastAsia="es-ES"/>
        </w:rPr>
        <w:t>3</w:t>
      </w:r>
      <w:r w:rsidRPr="00B327EB">
        <w:rPr>
          <w:rFonts w:ascii="Arial" w:eastAsia="Times New Roman" w:hAnsi="Arial" w:cs="Arial"/>
          <w:sz w:val="18"/>
          <w:szCs w:val="18"/>
          <w:lang w:val="es-ES" w:eastAsia="es-ES"/>
        </w:rPr>
        <w:t xml:space="preserve"> operaciones mencionadas la vocación del valor es regresar a manos del “Enajenante”, del “Originador” o del “Receptor”, según sea el caso, la realidad financiera de la operación exige que el riesgo siga en el balance de las entidades que entregaron los valores al principio de las mismas.</w:t>
      </w:r>
    </w:p>
    <w:p w14:paraId="31F989B6"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7E0D417" w14:textId="453EBF34"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Teniendo en cuenta lo anterior, para efectos del cálculo de la exposición a los riesgos de mercado las posiciones en las operaciones que trata el presente numeral deben ser tenidas en cuenta </w:t>
      </w:r>
      <w:r w:rsidR="00A55A13"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las siguientes instrucciones:</w:t>
      </w:r>
    </w:p>
    <w:p w14:paraId="1C2294A9"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7354B79" w14:textId="77777777" w:rsidR="00DF2B76" w:rsidRPr="00B327EB" w:rsidRDefault="00AB2DEF" w:rsidP="00950D76">
      <w:pPr>
        <w:pStyle w:val="Prrafodelista"/>
        <w:numPr>
          <w:ilvl w:val="0"/>
          <w:numId w:val="9"/>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Los valores entregados en desarrollo de las 3 operaciones mencionadas deben ser tenidos en cuenta, por su valor de mercado, independientemente de su clasificación contable, para efectos de los cálculos de los riesgos de mercado del agente que los entregó al principio de la operación. Se exceptúan los valores obtenidos previamente a través de cualquiera de las operaciones mencionadas.</w:t>
      </w:r>
    </w:p>
    <w:p w14:paraId="629D47FB" w14:textId="77777777" w:rsidR="00DF2B76" w:rsidRPr="00B327EB" w:rsidRDefault="00DF2B76" w:rsidP="00950D76">
      <w:pPr>
        <w:pStyle w:val="Prrafodelista"/>
        <w:spacing w:after="0" w:line="240" w:lineRule="auto"/>
        <w:ind w:left="284" w:hanging="284"/>
        <w:jc w:val="both"/>
        <w:rPr>
          <w:rFonts w:ascii="Arial" w:eastAsia="Times New Roman" w:hAnsi="Arial" w:cs="Arial"/>
          <w:sz w:val="18"/>
          <w:szCs w:val="18"/>
          <w:lang w:val="es-ES" w:eastAsia="es-ES"/>
        </w:rPr>
      </w:pPr>
    </w:p>
    <w:p w14:paraId="46DF5F05" w14:textId="0BBD35C2" w:rsidR="00DF2B76" w:rsidRPr="00B327EB" w:rsidRDefault="00AB2DEF" w:rsidP="00950D76">
      <w:pPr>
        <w:pStyle w:val="Prrafodelista"/>
        <w:numPr>
          <w:ilvl w:val="0"/>
          <w:numId w:val="9"/>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los casos en los que una entidad actuando como adquirente en una operación repo o en una operación simultánea venda de manera definitiva a través de operaciones de contado los valores objeto de la operación, </w:t>
      </w:r>
      <w:r w:rsidR="000B6E59" w:rsidRPr="00B327EB">
        <w:rPr>
          <w:rFonts w:ascii="Arial" w:eastAsia="Times New Roman" w:hAnsi="Arial" w:cs="Arial"/>
          <w:sz w:val="18"/>
          <w:szCs w:val="18"/>
          <w:lang w:val="es-ES" w:eastAsia="es-ES"/>
        </w:rPr>
        <w:t>o</w:t>
      </w:r>
      <w:r w:rsidRPr="00B327EB">
        <w:rPr>
          <w:rFonts w:ascii="Arial" w:eastAsia="Times New Roman" w:hAnsi="Arial" w:cs="Arial"/>
          <w:sz w:val="18"/>
          <w:szCs w:val="18"/>
          <w:lang w:val="es-ES" w:eastAsia="es-ES"/>
        </w:rPr>
        <w:t xml:space="preserve"> los entregue como enajenante en una nueva operación repo, simultánea o transferencia temporal de valores, la posición corta o la posición pasiva resultante debe ser tenida en cuenta para efectos de los cálculos de la exposición a riesgos de mercado de que trata el presente </w:t>
      </w:r>
      <w:r w:rsidR="00144E92" w:rsidRPr="00B327EB">
        <w:rPr>
          <w:rFonts w:ascii="Arial" w:eastAsia="Times New Roman" w:hAnsi="Arial" w:cs="Arial"/>
          <w:sz w:val="18"/>
          <w:szCs w:val="18"/>
          <w:lang w:val="es-ES" w:eastAsia="es-ES"/>
        </w:rPr>
        <w:t>C</w:t>
      </w:r>
      <w:r w:rsidRPr="00B327EB">
        <w:rPr>
          <w:rFonts w:ascii="Arial" w:eastAsia="Times New Roman" w:hAnsi="Arial" w:cs="Arial"/>
          <w:sz w:val="18"/>
          <w:szCs w:val="18"/>
          <w:lang w:val="es-ES" w:eastAsia="es-ES"/>
        </w:rPr>
        <w:t>apítulo.</w:t>
      </w:r>
    </w:p>
    <w:p w14:paraId="024D1FCE" w14:textId="77777777" w:rsidR="00DF2B76" w:rsidRPr="00B327EB" w:rsidRDefault="00DF2B76" w:rsidP="00950D76">
      <w:pPr>
        <w:pStyle w:val="Prrafodelista"/>
        <w:spacing w:after="0" w:line="240" w:lineRule="auto"/>
        <w:ind w:left="284" w:hanging="284"/>
        <w:rPr>
          <w:rFonts w:ascii="Arial" w:eastAsia="Times New Roman" w:hAnsi="Arial" w:cs="Arial"/>
          <w:sz w:val="18"/>
          <w:szCs w:val="18"/>
          <w:lang w:val="es-ES" w:eastAsia="es-ES"/>
        </w:rPr>
      </w:pPr>
    </w:p>
    <w:p w14:paraId="203E23DB" w14:textId="77777777" w:rsidR="00E873C8" w:rsidRPr="00B327EB" w:rsidRDefault="00AB2DEF" w:rsidP="00E873C8">
      <w:pPr>
        <w:pStyle w:val="Prrafodelista"/>
        <w:numPr>
          <w:ilvl w:val="0"/>
          <w:numId w:val="9"/>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Igual tratamiento recibirán las posiciones cortas o posiciones pasivas resultantes en los casos en los cuales cualquiera de las partes involucradas en una transferencia temporal de valores venda de manera definitiva a través de operaciones de contado los valores que recibió en desarrollo de la mencionada operación, </w:t>
      </w:r>
      <w:r w:rsidR="000B6E59" w:rsidRPr="00B327EB">
        <w:rPr>
          <w:rFonts w:ascii="Arial" w:eastAsia="Times New Roman" w:hAnsi="Arial" w:cs="Arial"/>
          <w:sz w:val="18"/>
          <w:szCs w:val="18"/>
          <w:lang w:val="es-ES" w:eastAsia="es-ES"/>
        </w:rPr>
        <w:t>o</w:t>
      </w:r>
      <w:r w:rsidRPr="00B327EB">
        <w:rPr>
          <w:rFonts w:ascii="Arial" w:eastAsia="Times New Roman" w:hAnsi="Arial" w:cs="Arial"/>
          <w:sz w:val="18"/>
          <w:szCs w:val="18"/>
          <w:lang w:val="es-ES" w:eastAsia="es-ES"/>
        </w:rPr>
        <w:t xml:space="preserve"> los entregue como enajenante en una nueva operación repo, simultánea o transferencia temporal de valores.</w:t>
      </w:r>
    </w:p>
    <w:p w14:paraId="0AF2422F" w14:textId="77777777" w:rsidR="00E873C8" w:rsidRPr="00B327EB" w:rsidRDefault="00E873C8" w:rsidP="00E873C8">
      <w:pPr>
        <w:pStyle w:val="Prrafodelista"/>
        <w:rPr>
          <w:rFonts w:ascii="Arial" w:eastAsia="Times New Roman" w:hAnsi="Arial" w:cs="Arial"/>
          <w:sz w:val="18"/>
          <w:szCs w:val="18"/>
          <w:lang w:val="es-ES" w:eastAsia="es-ES"/>
        </w:rPr>
      </w:pPr>
    </w:p>
    <w:p w14:paraId="290F4A67" w14:textId="1BB23F96" w:rsidR="00AB2DEF" w:rsidRPr="00B327EB" w:rsidRDefault="00AB2DEF" w:rsidP="00E873C8">
      <w:pPr>
        <w:pStyle w:val="Prrafodelista"/>
        <w:numPr>
          <w:ilvl w:val="0"/>
          <w:numId w:val="9"/>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todo caso, las entidades vigiladas deberán seguir las instrucciones señaladas en el Capítulo XXV de la </w:t>
      </w:r>
      <w:r w:rsidR="00144E92" w:rsidRPr="00B327EB">
        <w:rPr>
          <w:rFonts w:ascii="Arial" w:eastAsia="Times New Roman" w:hAnsi="Arial" w:cs="Arial"/>
          <w:sz w:val="18"/>
          <w:szCs w:val="18"/>
          <w:lang w:val="es-ES" w:eastAsia="es-ES"/>
        </w:rPr>
        <w:t>CBCF</w:t>
      </w:r>
      <w:r w:rsidRPr="00B327EB">
        <w:rPr>
          <w:rFonts w:ascii="Arial" w:eastAsia="Times New Roman" w:hAnsi="Arial" w:cs="Arial"/>
          <w:sz w:val="18"/>
          <w:szCs w:val="18"/>
          <w:lang w:val="es-ES" w:eastAsia="es-ES"/>
        </w:rPr>
        <w:t xml:space="preserve"> con el fin de medir la exposición de riesgo de mercado de las operaciones de contado.</w:t>
      </w:r>
    </w:p>
    <w:p w14:paraId="292F88F5"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4AA619A6" w14:textId="480F1345"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Riesgo de tasa de interés</w:t>
      </w:r>
    </w:p>
    <w:p w14:paraId="3CF7CBC3" w14:textId="77777777" w:rsidR="00354640" w:rsidRPr="00B327EB" w:rsidRDefault="00354640" w:rsidP="00354640">
      <w:pPr>
        <w:spacing w:after="0" w:line="240" w:lineRule="auto"/>
        <w:jc w:val="both"/>
        <w:rPr>
          <w:rFonts w:ascii="Arial" w:eastAsia="Times New Roman" w:hAnsi="Arial" w:cs="Arial"/>
          <w:b/>
          <w:sz w:val="18"/>
          <w:szCs w:val="18"/>
          <w:lang w:val="es-ES" w:eastAsia="es-ES"/>
        </w:rPr>
      </w:pPr>
    </w:p>
    <w:p w14:paraId="6132D30A"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Este numeral describe la metodología estandarizada para medir el riesgo de tomar o mantener posiciones, en el libro de tesorería, en instrumentos sensibles a cambios adversos en tasas de interés.</w:t>
      </w:r>
    </w:p>
    <w:p w14:paraId="66E7BF2B"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75D70963"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efectos de lo estipulado en el presente numeral deben tenerse en cuenta:</w:t>
      </w:r>
    </w:p>
    <w:p w14:paraId="33C79034"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590043D" w14:textId="5E7C4B77" w:rsidR="00DF2B76" w:rsidRPr="00B327EB" w:rsidRDefault="00AB2DEF" w:rsidP="00E873C8">
      <w:pPr>
        <w:pStyle w:val="Prrafodelista"/>
        <w:numPr>
          <w:ilvl w:val="0"/>
          <w:numId w:val="11"/>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inversiones en títulos de renta fija</w:t>
      </w:r>
      <w:r w:rsidR="001A48A9"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bien sean pactados a tasa fija o a tasa variable.</w:t>
      </w:r>
    </w:p>
    <w:p w14:paraId="616809F1" w14:textId="77777777" w:rsidR="009C368C" w:rsidRPr="00B327EB" w:rsidRDefault="009C368C" w:rsidP="009C368C">
      <w:pPr>
        <w:pStyle w:val="Prrafodelista"/>
        <w:spacing w:after="0" w:line="240" w:lineRule="auto"/>
        <w:ind w:left="284"/>
        <w:jc w:val="both"/>
        <w:rPr>
          <w:rFonts w:ascii="Arial" w:eastAsia="Times New Roman" w:hAnsi="Arial" w:cs="Arial"/>
          <w:sz w:val="18"/>
          <w:szCs w:val="18"/>
          <w:lang w:val="es-ES" w:eastAsia="es-ES"/>
        </w:rPr>
      </w:pPr>
    </w:p>
    <w:p w14:paraId="10FF79F2" w14:textId="6F524A19" w:rsidR="00DF2B76" w:rsidRPr="00B327EB" w:rsidRDefault="00AB2DEF" w:rsidP="00E873C8">
      <w:pPr>
        <w:pStyle w:val="Prrafodelista"/>
        <w:numPr>
          <w:ilvl w:val="0"/>
          <w:numId w:val="11"/>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exposiciones asociadas a instrumentos derivados cuyos subyacentes sean títulos de renta fija o tasas de interés según lo determinado en el nu</w:t>
      </w:r>
      <w:r w:rsidR="00903E18" w:rsidRPr="00B327EB">
        <w:rPr>
          <w:rFonts w:ascii="Arial" w:eastAsia="Times New Roman" w:hAnsi="Arial" w:cs="Arial"/>
          <w:sz w:val="18"/>
          <w:szCs w:val="18"/>
          <w:lang w:val="es-ES" w:eastAsia="es-ES"/>
        </w:rPr>
        <w:t>meral 2</w:t>
      </w:r>
      <w:r w:rsidRPr="00B327EB">
        <w:rPr>
          <w:rFonts w:ascii="Arial" w:eastAsia="Times New Roman" w:hAnsi="Arial" w:cs="Arial"/>
          <w:sz w:val="18"/>
          <w:szCs w:val="18"/>
          <w:lang w:val="es-ES" w:eastAsia="es-ES"/>
        </w:rPr>
        <w:t>.1. del presente anexo.</w:t>
      </w:r>
    </w:p>
    <w:p w14:paraId="42F1A255" w14:textId="77777777" w:rsidR="009C368C" w:rsidRPr="00B327EB" w:rsidRDefault="009C368C" w:rsidP="009C368C">
      <w:pPr>
        <w:spacing w:after="0" w:line="240" w:lineRule="auto"/>
        <w:jc w:val="both"/>
        <w:rPr>
          <w:rFonts w:ascii="Arial" w:eastAsia="Times New Roman" w:hAnsi="Arial" w:cs="Arial"/>
          <w:sz w:val="18"/>
          <w:szCs w:val="18"/>
          <w:lang w:val="es-ES" w:eastAsia="es-ES"/>
        </w:rPr>
      </w:pPr>
    </w:p>
    <w:p w14:paraId="33F5EDF7" w14:textId="05325B5E" w:rsidR="00AB2DEF" w:rsidRPr="00B327EB" w:rsidRDefault="00AB2DEF" w:rsidP="00E873C8">
      <w:pPr>
        <w:pStyle w:val="Prrafodelista"/>
        <w:numPr>
          <w:ilvl w:val="0"/>
          <w:numId w:val="11"/>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Adicionalmente, cuando corresponda según lo previsto en el numeral </w:t>
      </w:r>
      <w:r w:rsidR="004B55FF" w:rsidRPr="00B327EB">
        <w:rPr>
          <w:rFonts w:ascii="Arial" w:eastAsia="Times New Roman" w:hAnsi="Arial" w:cs="Arial"/>
          <w:sz w:val="18"/>
          <w:szCs w:val="18"/>
          <w:lang w:val="es-ES" w:eastAsia="es-ES"/>
        </w:rPr>
        <w:t>2.6</w:t>
      </w:r>
      <w:r w:rsidRPr="00B327EB">
        <w:rPr>
          <w:rFonts w:ascii="Arial" w:eastAsia="Times New Roman" w:hAnsi="Arial" w:cs="Arial"/>
          <w:sz w:val="18"/>
          <w:szCs w:val="18"/>
          <w:lang w:val="es-ES" w:eastAsia="es-ES"/>
        </w:rPr>
        <w:t xml:space="preserve"> del presente anexo, las posiciones delta ponderadas de opciones cuyo subyacente sea una tasa de interés o un título de deuda.</w:t>
      </w:r>
    </w:p>
    <w:p w14:paraId="083AF7F6"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7CB6E748" w14:textId="2DB6D49B" w:rsidR="00AB2DEF" w:rsidRPr="00B327EB" w:rsidRDefault="00DF2B76"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Se debe</w:t>
      </w:r>
      <w:r w:rsidR="00AB2DEF" w:rsidRPr="00B327EB">
        <w:rPr>
          <w:rFonts w:ascii="Arial" w:eastAsia="Times New Roman" w:hAnsi="Arial" w:cs="Arial"/>
          <w:sz w:val="18"/>
          <w:szCs w:val="18"/>
          <w:lang w:val="es-ES" w:eastAsia="es-ES"/>
        </w:rPr>
        <w:t xml:space="preserve"> incluir en el cálculo de la exposición al riesgo de tasa de interés, las posiciones de las inversiones clasificadas como para mantener hasta el vencimiento entregadas como garantías en una cámara de riesgo central de contraparte con el fin de respaldar el cumplimiento de las operaciones aceptadas para su compensación y liquidación, </w:t>
      </w:r>
      <w:r w:rsidR="004C7F9E" w:rsidRPr="00B327EB">
        <w:rPr>
          <w:rFonts w:ascii="Arial" w:eastAsia="Times New Roman" w:hAnsi="Arial" w:cs="Arial"/>
          <w:sz w:val="18"/>
          <w:szCs w:val="18"/>
          <w:lang w:val="es-ES" w:eastAsia="es-ES"/>
        </w:rPr>
        <w:t>de acuerdo con</w:t>
      </w:r>
      <w:r w:rsidR="00AB2DEF" w:rsidRPr="00B327EB">
        <w:rPr>
          <w:rFonts w:ascii="Arial" w:eastAsia="Times New Roman" w:hAnsi="Arial" w:cs="Arial"/>
          <w:sz w:val="18"/>
          <w:szCs w:val="18"/>
          <w:lang w:val="es-ES" w:eastAsia="es-ES"/>
        </w:rPr>
        <w:t xml:space="preserve"> lo establecido</w:t>
      </w:r>
      <w:r w:rsidR="00903E18" w:rsidRPr="00B327EB">
        <w:rPr>
          <w:rFonts w:ascii="Arial" w:eastAsia="Times New Roman" w:hAnsi="Arial" w:cs="Arial"/>
          <w:sz w:val="18"/>
          <w:szCs w:val="18"/>
          <w:lang w:val="es-ES" w:eastAsia="es-ES"/>
        </w:rPr>
        <w:t xml:space="preserve"> en el literal i) del </w:t>
      </w:r>
      <w:r w:rsidR="00C47E04" w:rsidRPr="00B327EB">
        <w:rPr>
          <w:rFonts w:ascii="Arial" w:eastAsia="Times New Roman" w:hAnsi="Arial" w:cs="Arial"/>
          <w:sz w:val="18"/>
          <w:szCs w:val="18"/>
          <w:lang w:val="es-ES" w:eastAsia="es-ES"/>
        </w:rPr>
        <w:t>sub</w:t>
      </w:r>
      <w:r w:rsidR="00903E18" w:rsidRPr="00B327EB">
        <w:rPr>
          <w:rFonts w:ascii="Arial" w:eastAsia="Times New Roman" w:hAnsi="Arial" w:cs="Arial"/>
          <w:sz w:val="18"/>
          <w:szCs w:val="18"/>
          <w:lang w:val="es-ES" w:eastAsia="es-ES"/>
        </w:rPr>
        <w:t>numeral 2</w:t>
      </w:r>
      <w:r w:rsidR="00AB2DEF" w:rsidRPr="00B327EB">
        <w:rPr>
          <w:rFonts w:ascii="Arial" w:eastAsia="Times New Roman" w:hAnsi="Arial" w:cs="Arial"/>
          <w:sz w:val="18"/>
          <w:szCs w:val="18"/>
          <w:lang w:val="es-ES" w:eastAsia="es-ES"/>
        </w:rPr>
        <w:t xml:space="preserve">.1.1 del presente anexo. </w:t>
      </w:r>
    </w:p>
    <w:p w14:paraId="778409B3"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FD3AB19" w14:textId="0980687F"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efectos de los cálculos a que hace referencia el presen</w:t>
      </w:r>
      <w:r w:rsidR="00255002" w:rsidRPr="00B327EB">
        <w:rPr>
          <w:rFonts w:ascii="Arial" w:eastAsia="Times New Roman" w:hAnsi="Arial" w:cs="Arial"/>
          <w:sz w:val="18"/>
          <w:szCs w:val="18"/>
          <w:lang w:val="es-ES" w:eastAsia="es-ES"/>
        </w:rPr>
        <w:t>te</w:t>
      </w:r>
      <w:r w:rsidRPr="00B327EB">
        <w:rPr>
          <w:rFonts w:ascii="Arial" w:eastAsia="Times New Roman" w:hAnsi="Arial" w:cs="Arial"/>
          <w:sz w:val="18"/>
          <w:szCs w:val="18"/>
          <w:lang w:val="es-ES" w:eastAsia="es-ES"/>
        </w:rPr>
        <w:t xml:space="preserve"> numeral, las entidades deben reportar las exposiciones netas en cada instrumento. En ese sentido, se pueden excluir posiciones calzadas en los siguientes casos:</w:t>
      </w:r>
    </w:p>
    <w:p w14:paraId="66470E2F"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6578DF6" w14:textId="77777777" w:rsidR="00DF2B76" w:rsidRPr="00B327EB" w:rsidRDefault="00AB2DEF" w:rsidP="003E7656">
      <w:pPr>
        <w:pStyle w:val="Prrafodelista"/>
        <w:numPr>
          <w:ilvl w:val="0"/>
          <w:numId w:val="1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Cuando las posiciones largas y cortas calzadas correspondan a una emisión idéntica, incluyendo las posiciones en subyacentes derivadas de la participación en forwards,</w:t>
      </w:r>
      <w:r w:rsidR="00DF2B76" w:rsidRPr="00B327EB">
        <w:rPr>
          <w:rFonts w:ascii="Arial" w:eastAsia="Times New Roman" w:hAnsi="Arial" w:cs="Arial"/>
          <w:sz w:val="18"/>
          <w:szCs w:val="18"/>
          <w:lang w:val="es-ES" w:eastAsia="es-ES"/>
        </w:rPr>
        <w:t xml:space="preserve"> futuros y operaciones a plazo.</w:t>
      </w:r>
    </w:p>
    <w:p w14:paraId="27EDF2D5" w14:textId="77777777" w:rsidR="00DF2B76" w:rsidRPr="00B327EB" w:rsidRDefault="00DF2B76" w:rsidP="003E7656">
      <w:pPr>
        <w:pStyle w:val="Prrafodelista"/>
        <w:spacing w:after="0" w:line="240" w:lineRule="auto"/>
        <w:ind w:left="284" w:hanging="284"/>
        <w:jc w:val="both"/>
        <w:rPr>
          <w:rFonts w:ascii="Arial" w:eastAsia="Times New Roman" w:hAnsi="Arial" w:cs="Arial"/>
          <w:sz w:val="18"/>
          <w:szCs w:val="18"/>
          <w:lang w:val="es-ES" w:eastAsia="es-ES"/>
        </w:rPr>
      </w:pPr>
    </w:p>
    <w:p w14:paraId="6E898E66" w14:textId="77777777" w:rsidR="00DF2B76" w:rsidRPr="00B327EB" w:rsidRDefault="00DF2B76" w:rsidP="003E7656">
      <w:pPr>
        <w:pStyle w:val="Prrafodelista"/>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No se pueden excluir posiciones calzadas entre distintas emisiones de un mismo emisor, dado que las diferencias en cupones, opciones implícitas o liquidez, entre otros elementos, pueden ocasionar divergencia entre los precios de dichas emisiones en el corto plazo.</w:t>
      </w:r>
    </w:p>
    <w:p w14:paraId="2E28C1A9" w14:textId="77777777" w:rsidR="00DF2B76" w:rsidRPr="00B327EB" w:rsidRDefault="00DF2B76" w:rsidP="003E7656">
      <w:pPr>
        <w:pStyle w:val="Prrafodelista"/>
        <w:spacing w:after="0" w:line="240" w:lineRule="auto"/>
        <w:ind w:left="284" w:hanging="284"/>
        <w:jc w:val="both"/>
        <w:rPr>
          <w:rFonts w:ascii="Arial" w:eastAsia="Times New Roman" w:hAnsi="Arial" w:cs="Arial"/>
          <w:sz w:val="18"/>
          <w:szCs w:val="18"/>
          <w:lang w:val="es-ES" w:eastAsia="es-ES"/>
        </w:rPr>
      </w:pPr>
    </w:p>
    <w:p w14:paraId="6C9A4BBB" w14:textId="30C03D60" w:rsidR="00AB2DEF" w:rsidRPr="00B327EB" w:rsidRDefault="00AB2DEF" w:rsidP="003E7656">
      <w:pPr>
        <w:pStyle w:val="Prrafodelista"/>
        <w:numPr>
          <w:ilvl w:val="0"/>
          <w:numId w:val="12"/>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las posiciones nocionales asociadas a instrumentos derivados, con excepción de las posiciones nocionales en títulos subyacentes, se podrán excluir las posiciones largas y cortas calzadas cuando:</w:t>
      </w:r>
    </w:p>
    <w:p w14:paraId="59FF511C" w14:textId="77777777" w:rsidR="00D14B57" w:rsidRPr="00B327EB" w:rsidRDefault="00D14B57" w:rsidP="003E7656">
      <w:pPr>
        <w:pStyle w:val="Prrafodelista"/>
        <w:spacing w:after="0" w:line="240" w:lineRule="auto"/>
        <w:ind w:left="284" w:hanging="284"/>
        <w:jc w:val="both"/>
        <w:rPr>
          <w:rFonts w:ascii="Arial" w:eastAsia="Times New Roman" w:hAnsi="Arial" w:cs="Arial"/>
          <w:sz w:val="18"/>
          <w:szCs w:val="18"/>
          <w:lang w:val="es-ES" w:eastAsia="es-ES"/>
        </w:rPr>
      </w:pPr>
    </w:p>
    <w:p w14:paraId="76582EE1" w14:textId="1D8F3015" w:rsidR="00DF2B76" w:rsidRPr="00B327EB" w:rsidRDefault="00AB2DEF" w:rsidP="003E7656">
      <w:pPr>
        <w:pStyle w:val="Prrafodelista"/>
        <w:numPr>
          <w:ilvl w:val="0"/>
          <w:numId w:val="1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posiciones estén en la misma moneda;</w:t>
      </w:r>
    </w:p>
    <w:p w14:paraId="19345FA9" w14:textId="77777777" w:rsidR="00354640" w:rsidRPr="00B327EB" w:rsidRDefault="00354640" w:rsidP="003E7656">
      <w:pPr>
        <w:pStyle w:val="Prrafodelista"/>
        <w:spacing w:after="0" w:line="240" w:lineRule="auto"/>
        <w:ind w:left="567" w:hanging="283"/>
        <w:jc w:val="both"/>
        <w:rPr>
          <w:rFonts w:ascii="Arial" w:eastAsia="Times New Roman" w:hAnsi="Arial" w:cs="Arial"/>
          <w:sz w:val="18"/>
          <w:szCs w:val="18"/>
          <w:lang w:val="es-ES" w:eastAsia="es-ES"/>
        </w:rPr>
      </w:pPr>
    </w:p>
    <w:p w14:paraId="300B67F3" w14:textId="77777777" w:rsidR="00DF2B76" w:rsidRPr="00B327EB" w:rsidRDefault="00AB2DEF" w:rsidP="003E7656">
      <w:pPr>
        <w:pStyle w:val="Prrafodelista"/>
        <w:numPr>
          <w:ilvl w:val="0"/>
          <w:numId w:val="1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swaps y FRAs, la tasa de referencia debe ser idéntica y la diferencia entre los cupones pactados debe ser menor a </w:t>
      </w:r>
      <w:r w:rsidR="00903E18" w:rsidRPr="00B327EB">
        <w:rPr>
          <w:rFonts w:ascii="Arial" w:eastAsia="Times New Roman" w:hAnsi="Arial" w:cs="Arial"/>
          <w:sz w:val="18"/>
          <w:szCs w:val="18"/>
          <w:lang w:val="es-ES" w:eastAsia="es-ES"/>
        </w:rPr>
        <w:t>15</w:t>
      </w:r>
      <w:r w:rsidRPr="00B327EB">
        <w:rPr>
          <w:rFonts w:ascii="Arial" w:eastAsia="Times New Roman" w:hAnsi="Arial" w:cs="Arial"/>
          <w:sz w:val="18"/>
          <w:szCs w:val="18"/>
          <w:lang w:val="es-ES" w:eastAsia="es-ES"/>
        </w:rPr>
        <w:t xml:space="preserve"> puntos básicos;</w:t>
      </w:r>
    </w:p>
    <w:p w14:paraId="74CA6329" w14:textId="77777777" w:rsidR="00354640" w:rsidRPr="00B327EB" w:rsidRDefault="00354640" w:rsidP="003E7656">
      <w:pPr>
        <w:pStyle w:val="Prrafodelista"/>
        <w:spacing w:after="0" w:line="240" w:lineRule="auto"/>
        <w:ind w:left="567" w:hanging="283"/>
        <w:jc w:val="both"/>
        <w:rPr>
          <w:rFonts w:ascii="Arial" w:eastAsia="Times New Roman" w:hAnsi="Arial" w:cs="Arial"/>
          <w:sz w:val="18"/>
          <w:szCs w:val="18"/>
          <w:lang w:val="es-ES" w:eastAsia="es-ES"/>
        </w:rPr>
      </w:pPr>
    </w:p>
    <w:p w14:paraId="409F92A5" w14:textId="77777777" w:rsidR="00DF2B76" w:rsidRPr="00B327EB" w:rsidRDefault="00AB2DEF" w:rsidP="003E7656">
      <w:pPr>
        <w:pStyle w:val="Prrafodelista"/>
        <w:numPr>
          <w:ilvl w:val="0"/>
          <w:numId w:val="1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Si la madurez residual (o próxima fecha de reprecio) de las posiciones nocionales es menor o igual a treinta días y el descalce entre ellas es menor o igual a un </w:t>
      </w:r>
      <w:r w:rsidR="00903E18" w:rsidRPr="00B327EB">
        <w:rPr>
          <w:rFonts w:ascii="Arial" w:eastAsia="Times New Roman" w:hAnsi="Arial" w:cs="Arial"/>
          <w:sz w:val="18"/>
          <w:szCs w:val="18"/>
          <w:lang w:val="es-ES" w:eastAsia="es-ES"/>
        </w:rPr>
        <w:t>1</w:t>
      </w:r>
      <w:r w:rsidRPr="00B327EB">
        <w:rPr>
          <w:rFonts w:ascii="Arial" w:eastAsia="Times New Roman" w:hAnsi="Arial" w:cs="Arial"/>
          <w:sz w:val="18"/>
          <w:szCs w:val="18"/>
          <w:lang w:val="es-ES" w:eastAsia="es-ES"/>
        </w:rPr>
        <w:t xml:space="preserve"> día; o,</w:t>
      </w:r>
    </w:p>
    <w:p w14:paraId="15FA1A21" w14:textId="77777777" w:rsidR="00354640" w:rsidRPr="00B327EB" w:rsidRDefault="00354640" w:rsidP="003E7656">
      <w:pPr>
        <w:pStyle w:val="Prrafodelista"/>
        <w:spacing w:after="0" w:line="240" w:lineRule="auto"/>
        <w:ind w:left="567" w:hanging="283"/>
        <w:jc w:val="both"/>
        <w:rPr>
          <w:rFonts w:ascii="Arial" w:eastAsia="Times New Roman" w:hAnsi="Arial" w:cs="Arial"/>
          <w:sz w:val="18"/>
          <w:szCs w:val="18"/>
          <w:lang w:val="es-ES" w:eastAsia="es-ES"/>
        </w:rPr>
      </w:pPr>
    </w:p>
    <w:p w14:paraId="44C994B7" w14:textId="77777777" w:rsidR="00DF2B76" w:rsidRPr="00B327EB" w:rsidRDefault="00AB2DEF" w:rsidP="003E7656">
      <w:pPr>
        <w:pStyle w:val="Prrafodelista"/>
        <w:numPr>
          <w:ilvl w:val="0"/>
          <w:numId w:val="1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Si la madurez residual (o próxima fecha de reprecio) de las posiciones nocionales es mayor que 30 días y menor o igual a 365 días, y el descalce entre ellas es menor o igual a 7 días; o,</w:t>
      </w:r>
    </w:p>
    <w:p w14:paraId="26E89893" w14:textId="77777777" w:rsidR="00354640" w:rsidRPr="00B327EB" w:rsidRDefault="00354640" w:rsidP="003E7656">
      <w:pPr>
        <w:pStyle w:val="Prrafodelista"/>
        <w:spacing w:after="0" w:line="240" w:lineRule="auto"/>
        <w:ind w:left="567" w:hanging="283"/>
        <w:jc w:val="both"/>
        <w:rPr>
          <w:rFonts w:ascii="Arial" w:eastAsia="Times New Roman" w:hAnsi="Arial" w:cs="Arial"/>
          <w:sz w:val="18"/>
          <w:szCs w:val="18"/>
          <w:lang w:val="es-ES" w:eastAsia="es-ES"/>
        </w:rPr>
      </w:pPr>
    </w:p>
    <w:p w14:paraId="045B02FB" w14:textId="4F0BE917" w:rsidR="00DF2B76" w:rsidRPr="00B327EB" w:rsidRDefault="00AB2DEF" w:rsidP="003E7656">
      <w:pPr>
        <w:pStyle w:val="Prrafodelista"/>
        <w:numPr>
          <w:ilvl w:val="0"/>
          <w:numId w:val="1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Si la madurez residual (o próxima fecha de reprecio) de las posiciones nocionales es mayor a 365 días y el descalce entre ellas es menor a 30 días; y</w:t>
      </w:r>
    </w:p>
    <w:p w14:paraId="16F9E43C" w14:textId="77777777" w:rsidR="00354640" w:rsidRPr="00B327EB" w:rsidRDefault="00354640" w:rsidP="003E7656">
      <w:pPr>
        <w:pStyle w:val="Prrafodelista"/>
        <w:spacing w:after="0" w:line="240" w:lineRule="auto"/>
        <w:ind w:left="567" w:hanging="283"/>
        <w:jc w:val="both"/>
        <w:rPr>
          <w:rFonts w:ascii="Arial" w:eastAsia="Times New Roman" w:hAnsi="Arial" w:cs="Arial"/>
          <w:sz w:val="18"/>
          <w:szCs w:val="18"/>
          <w:lang w:val="es-ES" w:eastAsia="es-ES"/>
        </w:rPr>
      </w:pPr>
    </w:p>
    <w:p w14:paraId="328E0A23" w14:textId="77777777" w:rsidR="00AB2DEF" w:rsidRPr="00B327EB" w:rsidRDefault="00AB2DEF" w:rsidP="003E7656">
      <w:pPr>
        <w:pStyle w:val="Prrafodelista"/>
        <w:numPr>
          <w:ilvl w:val="0"/>
          <w:numId w:val="13"/>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Si las posiciones a calzar están en 2 categorías distintas de acuerdo a su madurez residual, el calce podrá realizarse sólo si se cumple con las condiciones de la posición con menor madurez residual. Por ejemplo, si se tiene una posición larga con una madurez residual de 363 días, esta podrá calzarse con una posición corta, con una madurez residual de hasta 369 días, para garantizar que el descalce entre ellas sea menor a 7 días.</w:t>
      </w:r>
    </w:p>
    <w:p w14:paraId="7E2977FB" w14:textId="77777777" w:rsidR="00354640" w:rsidRPr="00B327EB" w:rsidRDefault="00354640" w:rsidP="003E7656">
      <w:pPr>
        <w:pStyle w:val="Prrafodelista"/>
        <w:spacing w:after="0" w:line="240" w:lineRule="auto"/>
        <w:ind w:left="567" w:hanging="283"/>
        <w:jc w:val="both"/>
        <w:rPr>
          <w:rFonts w:ascii="Arial" w:eastAsia="Times New Roman" w:hAnsi="Arial" w:cs="Arial"/>
          <w:sz w:val="18"/>
          <w:szCs w:val="18"/>
          <w:lang w:val="es-ES" w:eastAsia="es-ES"/>
        </w:rPr>
      </w:pPr>
    </w:p>
    <w:p w14:paraId="0E27A7FA"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2.2.1 Medición del riesgo de tasa de interés</w:t>
      </w:r>
    </w:p>
    <w:p w14:paraId="1F1CB334"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263CB55"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 exposición a riesgo de tasa de interés refleja el riesgo asociado a movimientos adversos en las tasas de interés del mercado. Dicha exposición debe ser medida por las entidades de manera separada para las posiciones en moneda legal, en moneda extranjera y en Unidades de Valor Real (UVR).</w:t>
      </w:r>
    </w:p>
    <w:p w14:paraId="26971CD5"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97C477B"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2.2.1.1 Cálculo de la duración modificada</w:t>
      </w:r>
    </w:p>
    <w:p w14:paraId="5BFC9026"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FCF1E16"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entidades deberán calcular la duración modificada de cada una de las posiciones, incluyendo las nocionales asociadas a los instrumentos derivados, como una aproximación a la sensibilidad de su valor frente a cambios en la tasa de interés. Para dicho cálculo se debe utilizar la siguiente fórmula:</w:t>
      </w:r>
    </w:p>
    <w:p w14:paraId="0ECC4682"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7C21B1E" w14:textId="77777777" w:rsidR="00AB2DEF" w:rsidRPr="00B327EB" w:rsidRDefault="006A0B2B" w:rsidP="00354640">
      <w:pPr>
        <w:spacing w:after="0" w:line="240" w:lineRule="auto"/>
        <w:jc w:val="center"/>
        <w:rPr>
          <w:rFonts w:ascii="Arial" w:eastAsia="Times New Roman" w:hAnsi="Arial" w:cs="Arial"/>
          <w:sz w:val="18"/>
          <w:szCs w:val="18"/>
          <w:lang w:val="es-ES" w:eastAsia="es-ES"/>
        </w:rPr>
      </w:pPr>
      <w:r w:rsidRPr="00B327EB">
        <w:rPr>
          <w:rFonts w:ascii="Arial" w:eastAsia="Times New Roman" w:hAnsi="Arial" w:cs="Arial"/>
          <w:noProof/>
          <w:position w:val="-28"/>
          <w:sz w:val="18"/>
          <w:szCs w:val="18"/>
          <w:lang w:val="es-ES" w:eastAsia="es-ES"/>
        </w:rPr>
        <w:object w:dxaOrig="3379" w:dyaOrig="660" w14:anchorId="3E7BED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45pt;height:34.35pt" o:ole="">
            <v:imagedata r:id="rId11" o:title=""/>
          </v:shape>
          <o:OLEObject Type="Embed" ProgID="Equation.3" ShapeID="_x0000_i1025" DrawAspect="Content" ObjectID="_1693809056" r:id="rId12"/>
        </w:object>
      </w:r>
    </w:p>
    <w:p w14:paraId="64337D45"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p>
    <w:p w14:paraId="2CF379CF" w14:textId="5F6B1A8F"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w:t>
      </w:r>
      <w:r w:rsidR="003E7656" w:rsidRPr="00B327EB">
        <w:rPr>
          <w:rFonts w:ascii="Arial" w:eastAsia="Times New Roman" w:hAnsi="Arial" w:cs="Arial"/>
          <w:sz w:val="18"/>
          <w:szCs w:val="18"/>
          <w:lang w:val="es-ES" w:eastAsia="es-ES"/>
        </w:rPr>
        <w:t>o</w:t>
      </w:r>
      <w:r w:rsidRPr="00B327EB">
        <w:rPr>
          <w:rFonts w:ascii="Arial" w:eastAsia="Times New Roman" w:hAnsi="Arial" w:cs="Arial"/>
          <w:sz w:val="18"/>
          <w:szCs w:val="18"/>
          <w:lang w:val="es-ES" w:eastAsia="es-ES"/>
        </w:rPr>
        <w:t>nde:</w:t>
      </w:r>
    </w:p>
    <w:p w14:paraId="1394C821" w14:textId="5746E162"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r</w:t>
      </w:r>
      <w:r w:rsidRPr="00B327EB">
        <w:rPr>
          <w:rFonts w:ascii="Arial" w:eastAsia="Times New Roman" w:hAnsi="Arial" w:cs="Arial"/>
          <w:sz w:val="18"/>
          <w:szCs w:val="18"/>
          <w:lang w:val="es-ES" w:eastAsia="es-ES"/>
        </w:rPr>
        <w:tab/>
        <w:t xml:space="preserve">Último rendimiento disponible en la fecha de cálculo (tasa efectiva anual). Es </w:t>
      </w:r>
      <w:r w:rsidR="0097790D" w:rsidRPr="00B327EB">
        <w:rPr>
          <w:rFonts w:ascii="Arial" w:eastAsia="Times New Roman" w:hAnsi="Arial" w:cs="Arial"/>
          <w:sz w:val="18"/>
          <w:szCs w:val="18"/>
          <w:lang w:val="es-ES" w:eastAsia="es-ES"/>
        </w:rPr>
        <w:t>decir,</w:t>
      </w:r>
      <w:r w:rsidRPr="00B327EB">
        <w:rPr>
          <w:rFonts w:ascii="Arial" w:eastAsia="Times New Roman" w:hAnsi="Arial" w:cs="Arial"/>
          <w:sz w:val="18"/>
          <w:szCs w:val="18"/>
          <w:lang w:val="es-ES" w:eastAsia="es-ES"/>
        </w:rPr>
        <w:t xml:space="preserve"> la última tasa de descuento disponible para el título, de acuerdo con la información para valoración suministrada por el proveedor de precios designado como oficial para el segmento correspondiente.</w:t>
      </w:r>
    </w:p>
    <w:p w14:paraId="554147F0"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D955F8F" w14:textId="59842FE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el cálculo de la duración de los diferentes instrumentos se deben seguir las instrucciones presentadas a continuación:</w:t>
      </w:r>
    </w:p>
    <w:p w14:paraId="57E58E69"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67FAD44" w14:textId="02EE698F" w:rsidR="00AB2DEF" w:rsidRPr="00B327EB" w:rsidRDefault="00AB2DEF" w:rsidP="00694B7B">
      <w:pPr>
        <w:pStyle w:val="Prrafodelista"/>
        <w:numPr>
          <w:ilvl w:val="0"/>
          <w:numId w:val="23"/>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Duración de instrumentos pactados a tasa fija.</w:t>
      </w:r>
    </w:p>
    <w:p w14:paraId="3ADB1CD8"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7B26EC01"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 duración de un título pactado a tasa fija corresponde al plazo promedio de los flujos asociados a dicho título. Partiendo de los flujos contractuales y de la tasa de rendimiento del título, la duración del instrumento corresponde a:</w:t>
      </w:r>
    </w:p>
    <w:p w14:paraId="4AC2BC5F"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1F38EE8E" w14:textId="77777777" w:rsidR="00AB2DEF" w:rsidRPr="00B327EB" w:rsidRDefault="006A0B2B" w:rsidP="00694B7B">
      <w:pPr>
        <w:spacing w:after="0" w:line="240" w:lineRule="auto"/>
        <w:ind w:left="284" w:hanging="284"/>
        <w:jc w:val="center"/>
        <w:rPr>
          <w:rFonts w:ascii="Arial" w:eastAsia="Times New Roman" w:hAnsi="Arial" w:cs="Arial"/>
          <w:sz w:val="18"/>
          <w:szCs w:val="18"/>
          <w:lang w:val="es-ES" w:eastAsia="es-ES"/>
        </w:rPr>
      </w:pPr>
      <w:r w:rsidRPr="00B327EB">
        <w:rPr>
          <w:rFonts w:ascii="Arial" w:eastAsia="Times New Roman" w:hAnsi="Arial" w:cs="Arial"/>
          <w:noProof/>
          <w:position w:val="-66"/>
          <w:sz w:val="18"/>
          <w:szCs w:val="18"/>
          <w:lang w:val="es-ES" w:eastAsia="es-ES"/>
        </w:rPr>
        <w:object w:dxaOrig="2920" w:dyaOrig="1480" w14:anchorId="3352A09D">
          <v:shape id="_x0000_i1026" type="#_x0000_t75" style="width:145.65pt;height:76.2pt" o:ole="">
            <v:imagedata r:id="rId13" o:title=""/>
          </v:shape>
          <o:OLEObject Type="Embed" ProgID="Equation.3" ShapeID="_x0000_i1026" DrawAspect="Content" ObjectID="_1693809057" r:id="rId14"/>
        </w:object>
      </w:r>
    </w:p>
    <w:p w14:paraId="77ADB682"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662491BA"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Donde:</w:t>
      </w:r>
    </w:p>
    <w:p w14:paraId="23F78C1A"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Fj</w:t>
      </w:r>
      <w:r w:rsidRPr="00B327EB">
        <w:rPr>
          <w:rFonts w:ascii="Arial" w:eastAsia="Times New Roman" w:hAnsi="Arial" w:cs="Arial"/>
          <w:sz w:val="18"/>
          <w:szCs w:val="18"/>
          <w:lang w:val="es-ES" w:eastAsia="es-ES"/>
        </w:rPr>
        <w:tab/>
        <w:t>j-ésimo flujo de fondos del instrumento, j =1,..., m.</w:t>
      </w:r>
    </w:p>
    <w:p w14:paraId="56DE4579"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6AC67AC3"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tj</w:t>
      </w:r>
      <w:r w:rsidRPr="00B327EB">
        <w:rPr>
          <w:rFonts w:ascii="Arial" w:eastAsia="Times New Roman" w:hAnsi="Arial" w:cs="Arial"/>
          <w:sz w:val="18"/>
          <w:szCs w:val="18"/>
          <w:lang w:val="es-ES" w:eastAsia="es-ES"/>
        </w:rPr>
        <w:tab/>
        <w:t>tiempo restante hasta el j-ésimo flujo medido en número de años (número de días/365).</w:t>
      </w:r>
    </w:p>
    <w:p w14:paraId="5699C5FD"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5B608951" w14:textId="068DD1DB"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r</w:t>
      </w:r>
      <w:r w:rsidRPr="00B327EB">
        <w:rPr>
          <w:rFonts w:ascii="Arial" w:eastAsia="Times New Roman" w:hAnsi="Arial" w:cs="Arial"/>
          <w:sz w:val="18"/>
          <w:szCs w:val="18"/>
          <w:lang w:val="es-ES" w:eastAsia="es-ES"/>
        </w:rPr>
        <w:tab/>
        <w:t xml:space="preserve">Último rendimiento disponible en la fecha de cálculo (tasa efectiva anual). Es </w:t>
      </w:r>
      <w:r w:rsidR="00DC4918" w:rsidRPr="00B327EB">
        <w:rPr>
          <w:rFonts w:ascii="Arial" w:eastAsia="Times New Roman" w:hAnsi="Arial" w:cs="Arial"/>
          <w:sz w:val="18"/>
          <w:szCs w:val="18"/>
          <w:lang w:val="es-ES" w:eastAsia="es-ES"/>
        </w:rPr>
        <w:t>decir,</w:t>
      </w:r>
      <w:r w:rsidRPr="00B327EB">
        <w:rPr>
          <w:rFonts w:ascii="Arial" w:eastAsia="Times New Roman" w:hAnsi="Arial" w:cs="Arial"/>
          <w:sz w:val="18"/>
          <w:szCs w:val="18"/>
          <w:lang w:val="es-ES" w:eastAsia="es-ES"/>
        </w:rPr>
        <w:t xml:space="preserve"> la última tasa de descuento disponible para el título, de acuerdo con la información para valoración suministrada por el proveedor de precios designado como oficial para el segmento correspondiente.</w:t>
      </w:r>
    </w:p>
    <w:p w14:paraId="09B87389"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2180D9A5"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m</w:t>
      </w:r>
      <w:r w:rsidRPr="00B327EB">
        <w:rPr>
          <w:rFonts w:ascii="Arial" w:eastAsia="Times New Roman" w:hAnsi="Arial" w:cs="Arial"/>
          <w:sz w:val="18"/>
          <w:szCs w:val="18"/>
          <w:lang w:val="es-ES" w:eastAsia="es-ES"/>
        </w:rPr>
        <w:tab/>
        <w:t>Número de flujos futuros de efectivo asociados al instrumento.</w:t>
      </w:r>
    </w:p>
    <w:p w14:paraId="4613C38E"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672A5406"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 duración deberá ser menor que la madurez contractual del instrumento, salvo en aquellos casos en que el instrumento tiene un único flujo de efectivo que ocurre en la fecha de vencimiento.</w:t>
      </w:r>
    </w:p>
    <w:p w14:paraId="23820123"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5DE65626" w14:textId="5294451F" w:rsidR="00AB2DEF" w:rsidRPr="00B327EB" w:rsidRDefault="00AB2DEF" w:rsidP="00231709">
      <w:pPr>
        <w:pStyle w:val="Prrafodelista"/>
        <w:numPr>
          <w:ilvl w:val="0"/>
          <w:numId w:val="23"/>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Duración de instrumentos pactados a tasa variable con y sin margen.</w:t>
      </w:r>
    </w:p>
    <w:p w14:paraId="53EB6CBC"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6883E630"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Teniendo en cuenta que en la valoración de los instrumentos pactados a tasa variable se tiene en cuenta un margen relacionado con las características del emisor y que, por ende, los flujos de efectivo posteriores a la </w:t>
      </w:r>
      <w:r w:rsidRPr="00B327EB">
        <w:rPr>
          <w:rFonts w:ascii="Arial" w:eastAsia="Times New Roman" w:hAnsi="Arial" w:cs="Arial"/>
          <w:sz w:val="18"/>
          <w:szCs w:val="18"/>
          <w:lang w:val="es-ES" w:eastAsia="es-ES"/>
        </w:rPr>
        <w:lastRenderedPageBreak/>
        <w:t>siguiente fecha de reprecio pueden cambiar de valor ante movimientos en el margen, la duración de estos instrumentos debe ser calculada utilizando la siguiente expresión:</w:t>
      </w:r>
    </w:p>
    <w:p w14:paraId="2722BF58" w14:textId="77777777" w:rsidR="00AB2DEF" w:rsidRPr="00B327EB" w:rsidRDefault="00AB2DEF" w:rsidP="00694B7B">
      <w:pPr>
        <w:spacing w:after="0" w:line="240" w:lineRule="auto"/>
        <w:ind w:left="284" w:hanging="284"/>
        <w:jc w:val="both"/>
        <w:rPr>
          <w:rFonts w:ascii="Arial" w:eastAsia="Times New Roman" w:hAnsi="Arial" w:cs="Arial"/>
          <w:sz w:val="18"/>
          <w:szCs w:val="18"/>
          <w:lang w:val="es-ES" w:eastAsia="es-ES"/>
        </w:rPr>
      </w:pPr>
    </w:p>
    <w:p w14:paraId="7B1348C4" w14:textId="77777777" w:rsidR="00AB2DEF" w:rsidRPr="00B327EB" w:rsidRDefault="006A0B2B" w:rsidP="00694B7B">
      <w:pPr>
        <w:spacing w:after="0" w:line="240" w:lineRule="auto"/>
        <w:ind w:left="284" w:hanging="284"/>
        <w:jc w:val="center"/>
        <w:rPr>
          <w:rFonts w:ascii="Arial" w:eastAsia="Times New Roman" w:hAnsi="Arial" w:cs="Arial"/>
          <w:sz w:val="18"/>
          <w:szCs w:val="18"/>
          <w:lang w:val="es-ES" w:eastAsia="es-ES"/>
        </w:rPr>
      </w:pPr>
      <w:r w:rsidRPr="00B327EB">
        <w:rPr>
          <w:rFonts w:ascii="Arial" w:eastAsia="Times New Roman" w:hAnsi="Arial" w:cs="Arial"/>
          <w:noProof/>
          <w:position w:val="-66"/>
          <w:sz w:val="18"/>
          <w:szCs w:val="18"/>
          <w:lang w:val="es-ES" w:eastAsia="es-ES"/>
        </w:rPr>
        <w:object w:dxaOrig="2700" w:dyaOrig="1480" w14:anchorId="03E87677">
          <v:shape id="_x0000_i1027" type="#_x0000_t75" style="width:136.45pt;height:76.2pt" o:ole="">
            <v:imagedata r:id="rId15" o:title=""/>
          </v:shape>
          <o:OLEObject Type="Embed" ProgID="Equation.3" ShapeID="_x0000_i1027" DrawAspect="Content" ObjectID="_1693809058" r:id="rId16"/>
        </w:object>
      </w:r>
    </w:p>
    <w:p w14:paraId="073BF684"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2DDB7114"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Donde:</w:t>
      </w:r>
    </w:p>
    <w:p w14:paraId="568DD911"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p>
    <w:p w14:paraId="1ACD41FC" w14:textId="75EEB301"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Fj</w:t>
      </w:r>
      <w:r w:rsidRPr="00B327EB">
        <w:rPr>
          <w:rFonts w:ascii="Arial" w:eastAsia="Times New Roman" w:hAnsi="Arial" w:cs="Arial"/>
          <w:sz w:val="18"/>
          <w:szCs w:val="18"/>
          <w:lang w:val="es-ES" w:eastAsia="es-ES"/>
        </w:rPr>
        <w:tab/>
        <w:t>j-ésimo flujo de fondos del instrumento, j =1,..., m.</w:t>
      </w:r>
    </w:p>
    <w:p w14:paraId="4329364A"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4F692E19"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tj</w:t>
      </w:r>
      <w:r w:rsidRPr="00B327EB">
        <w:rPr>
          <w:rFonts w:ascii="Arial" w:eastAsia="Times New Roman" w:hAnsi="Arial" w:cs="Arial"/>
          <w:sz w:val="18"/>
          <w:szCs w:val="18"/>
          <w:lang w:val="es-ES" w:eastAsia="es-ES"/>
        </w:rPr>
        <w:tab/>
        <w:t>tiempo restante hasta el j-ésimo flujo medido en número de años (número de días/365).</w:t>
      </w:r>
    </w:p>
    <w:p w14:paraId="7485CBED"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111A4ED9"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FD</w:t>
      </w:r>
      <w:r w:rsidRPr="00B327EB">
        <w:rPr>
          <w:rFonts w:ascii="Arial" w:eastAsia="Times New Roman" w:hAnsi="Arial" w:cs="Arial"/>
          <w:sz w:val="18"/>
          <w:szCs w:val="18"/>
          <w:lang w:val="es-ES" w:eastAsia="es-ES"/>
        </w:rPr>
        <w:tab/>
        <w:t>Último factor de descuento disponible en la fecha de cálculo, de acuerdo con la información para valoración suministrada por el proveedor de precios designado como oficial para el segmento correspondiente.</w:t>
      </w:r>
    </w:p>
    <w:p w14:paraId="65DA4E22"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394FA589" w14:textId="02F46C63"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m</w:t>
      </w:r>
      <w:r w:rsidRPr="00B327EB">
        <w:rPr>
          <w:rFonts w:ascii="Arial" w:eastAsia="Times New Roman" w:hAnsi="Arial" w:cs="Arial"/>
          <w:sz w:val="18"/>
          <w:szCs w:val="18"/>
          <w:lang w:val="es-ES" w:eastAsia="es-ES"/>
        </w:rPr>
        <w:tab/>
        <w:t>Número de flujos futuros de efectivo asociados al instrumento.</w:t>
      </w:r>
    </w:p>
    <w:p w14:paraId="3F8E5648"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p>
    <w:p w14:paraId="5290D602"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Sin embargo, la duración de los títulos “tasa variable” pactados a tasas de referencia internacionales corresponderá al periodo de tiempo existente hasta el siguiente reprecio, es decir, hasta el siguiente momento en que se revise la tasa para calcular el pago del cupón. Dicha duración deberá ser calculada en número de años.</w:t>
      </w:r>
    </w:p>
    <w:p w14:paraId="42B75592"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196EDA01" w14:textId="2DC1EE16" w:rsidR="00AB2DEF" w:rsidRPr="00B327EB" w:rsidRDefault="00AB2DEF" w:rsidP="00694B7B">
      <w:pPr>
        <w:pStyle w:val="Prrafodelista"/>
        <w:numPr>
          <w:ilvl w:val="0"/>
          <w:numId w:val="23"/>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Duración de instrumentos pactados en UVR.</w:t>
      </w:r>
    </w:p>
    <w:p w14:paraId="467C6881"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4CAE1295" w14:textId="33B85A9C"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calcular la duración de los instrumentos financieros pactados en</w:t>
      </w:r>
      <w:r w:rsidR="0089479E"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UVR, los flujos futuros de efectivo deben proyectarse teniendo en cuenta la tasa pactada en UVR. La duración en este caso se calcula siguiendo el procedimiento establecido en el inciso a) del presente numeral.</w:t>
      </w:r>
    </w:p>
    <w:p w14:paraId="1639B4B1"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4D0BBD23"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Cabe aclarar que el cálculo de la duración no se ve afectado por la unidad en que estén denominados los flujos de efectivo al momento de realizarlo.</w:t>
      </w:r>
    </w:p>
    <w:p w14:paraId="22D39B52"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5663CDD7" w14:textId="43D7CD34" w:rsidR="00AB2DEF" w:rsidRPr="00B327EB" w:rsidRDefault="00AB2DEF" w:rsidP="00694B7B">
      <w:pPr>
        <w:pStyle w:val="Prrafodelista"/>
        <w:numPr>
          <w:ilvl w:val="0"/>
          <w:numId w:val="23"/>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Duración de instrumentos pactados en moneda extranjera.</w:t>
      </w:r>
    </w:p>
    <w:p w14:paraId="648B01FA"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4DDCA10C" w14:textId="0F98F26A"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calcular la duración de los instrumentos financieros pactados en moneda extranjera, los flujos futuros de efectivo deben proyectarse teniendo en cuenta la tasa pactada en la moneda original. La duración en este caso se calcula siguiendo el procedimiento establecido en los literales a) y b) del presente </w:t>
      </w:r>
      <w:r w:rsidR="00895316" w:rsidRPr="00B327EB">
        <w:rPr>
          <w:rFonts w:ascii="Arial" w:eastAsia="Times New Roman" w:hAnsi="Arial" w:cs="Arial"/>
          <w:sz w:val="18"/>
          <w:szCs w:val="18"/>
          <w:lang w:val="es-ES" w:eastAsia="es-ES"/>
        </w:rPr>
        <w:t>sub</w:t>
      </w:r>
      <w:r w:rsidRPr="00B327EB">
        <w:rPr>
          <w:rFonts w:ascii="Arial" w:eastAsia="Times New Roman" w:hAnsi="Arial" w:cs="Arial"/>
          <w:sz w:val="18"/>
          <w:szCs w:val="18"/>
          <w:lang w:val="es-ES" w:eastAsia="es-ES"/>
        </w:rPr>
        <w:t>numeral.</w:t>
      </w:r>
    </w:p>
    <w:p w14:paraId="23C8A69C" w14:textId="77777777" w:rsidR="00354640" w:rsidRPr="00B327EB" w:rsidRDefault="00354640" w:rsidP="00694B7B">
      <w:pPr>
        <w:spacing w:after="0" w:line="240" w:lineRule="auto"/>
        <w:ind w:left="284"/>
        <w:jc w:val="both"/>
        <w:rPr>
          <w:rFonts w:ascii="Arial" w:eastAsia="Times New Roman" w:hAnsi="Arial" w:cs="Arial"/>
          <w:sz w:val="18"/>
          <w:szCs w:val="18"/>
          <w:lang w:val="es-ES" w:eastAsia="es-ES"/>
        </w:rPr>
      </w:pPr>
    </w:p>
    <w:p w14:paraId="241B3170" w14:textId="77777777" w:rsidR="00AB2DEF" w:rsidRPr="00B327EB" w:rsidRDefault="00AB2DEF" w:rsidP="00694B7B">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Cabe aclarar que el cálculo de la duración no se ve afectado por la unidad en que estén denominados los flujos de efectivo al momento de realizarlo.</w:t>
      </w:r>
    </w:p>
    <w:p w14:paraId="6ABC1541"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424454A1" w14:textId="50B35D7A" w:rsidR="00AB2DEF" w:rsidRPr="00B327EB" w:rsidRDefault="00AB2DEF" w:rsidP="00694B7B">
      <w:pPr>
        <w:pStyle w:val="Prrafodelista"/>
        <w:numPr>
          <w:ilvl w:val="0"/>
          <w:numId w:val="23"/>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Duración de instrumentos con opción de prepagos.</w:t>
      </w:r>
    </w:p>
    <w:p w14:paraId="24404568" w14:textId="77777777" w:rsidR="00354640" w:rsidRPr="00B327EB" w:rsidRDefault="00354640" w:rsidP="00694B7B">
      <w:pPr>
        <w:spacing w:after="0" w:line="240" w:lineRule="auto"/>
        <w:ind w:left="284" w:hanging="284"/>
        <w:jc w:val="both"/>
        <w:rPr>
          <w:rFonts w:ascii="Arial" w:eastAsia="Times New Roman" w:hAnsi="Arial" w:cs="Arial"/>
          <w:sz w:val="18"/>
          <w:szCs w:val="18"/>
          <w:lang w:val="es-ES" w:eastAsia="es-ES"/>
        </w:rPr>
      </w:pPr>
    </w:p>
    <w:p w14:paraId="7488E9C7" w14:textId="79FA2453" w:rsidR="00144E92" w:rsidRPr="00B327EB" w:rsidRDefault="00AB2DEF" w:rsidP="00694B7B">
      <w:pPr>
        <w:spacing w:after="0" w:line="240" w:lineRule="auto"/>
        <w:ind w:left="284"/>
        <w:contextualSpacing/>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En el caso de los títulos que incorporen opción de prepagos, su duración se debe calcular de acuerdo con la expresión mencionada en el literal a)</w:t>
      </w:r>
      <w:r w:rsidR="002220F5" w:rsidRPr="00B327EB">
        <w:rPr>
          <w:rFonts w:ascii="Arial" w:eastAsia="Times New Roman" w:hAnsi="Arial" w:cs="Arial"/>
          <w:sz w:val="18"/>
          <w:szCs w:val="18"/>
          <w:lang w:val="es-ES" w:eastAsia="es-ES"/>
        </w:rPr>
        <w:t xml:space="preserve"> del presente subnumeral</w:t>
      </w:r>
      <w:r w:rsidRPr="00B327EB">
        <w:rPr>
          <w:rFonts w:ascii="Arial" w:eastAsia="Times New Roman" w:hAnsi="Arial" w:cs="Arial"/>
          <w:sz w:val="18"/>
          <w:szCs w:val="18"/>
          <w:lang w:val="es-ES" w:eastAsia="es-ES"/>
        </w:rPr>
        <w:t xml:space="preserve">, utilizándose como referencia los escenarios de prepago que se emplean para su valoración a precios de mercado, de acuerdo con lo establecido en el </w:t>
      </w:r>
      <w:r w:rsidR="00CE2260" w:rsidRPr="00B327EB">
        <w:rPr>
          <w:rFonts w:ascii="Arial" w:eastAsia="Times New Roman" w:hAnsi="Arial" w:cs="Arial"/>
          <w:sz w:val="18"/>
          <w:szCs w:val="18"/>
          <w:lang w:val="es-ES" w:eastAsia="es-ES"/>
        </w:rPr>
        <w:t>C</w:t>
      </w:r>
      <w:r w:rsidRPr="00B327EB">
        <w:rPr>
          <w:rFonts w:ascii="Arial" w:eastAsia="Times New Roman" w:hAnsi="Arial" w:cs="Arial"/>
          <w:sz w:val="18"/>
          <w:szCs w:val="18"/>
          <w:lang w:val="es-ES" w:eastAsia="es-ES"/>
        </w:rPr>
        <w:t xml:space="preserve">apítulo I-1 de la </w:t>
      </w:r>
      <w:r w:rsidR="00144E92" w:rsidRPr="00B327EB">
        <w:rPr>
          <w:rFonts w:ascii="Arial" w:eastAsia="Times New Roman" w:hAnsi="Arial" w:cs="Arial"/>
          <w:sz w:val="18"/>
          <w:szCs w:val="18"/>
          <w:lang w:val="es-ES" w:eastAsia="es-ES"/>
        </w:rPr>
        <w:t>CBCF.</w:t>
      </w:r>
    </w:p>
    <w:p w14:paraId="17E14A20" w14:textId="77777777" w:rsidR="00AB2DEF" w:rsidRPr="00B327EB" w:rsidRDefault="00AB2DEF" w:rsidP="00354640">
      <w:pPr>
        <w:spacing w:after="0" w:line="240" w:lineRule="auto"/>
        <w:contextualSpacing/>
        <w:jc w:val="both"/>
        <w:rPr>
          <w:rFonts w:ascii="Arial" w:eastAsia="Times New Roman" w:hAnsi="Arial" w:cs="Arial"/>
          <w:sz w:val="18"/>
          <w:szCs w:val="18"/>
          <w:lang w:val="es-ES" w:eastAsia="es-ES"/>
        </w:rPr>
      </w:pPr>
    </w:p>
    <w:p w14:paraId="38E56872"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2.2.2. Cálculo de los componentes de la exposición a riesgo de tasas de interés.</w:t>
      </w:r>
    </w:p>
    <w:p w14:paraId="43B11C76"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3E4A771"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calcular la exposición al riesgo de tasa de interés deben seguirse los siguientes pasos:</w:t>
      </w:r>
    </w:p>
    <w:p w14:paraId="49FC2BFC"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863E9CF" w14:textId="2F1849B4" w:rsidR="00354640" w:rsidRPr="00B327EB" w:rsidRDefault="00AB2DEF" w:rsidP="00631DF7">
      <w:pPr>
        <w:pStyle w:val="Prrafodelista"/>
        <w:numPr>
          <w:ilvl w:val="0"/>
          <w:numId w:val="24"/>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Cálculo de las sensibilidades</w:t>
      </w:r>
    </w:p>
    <w:p w14:paraId="16E3303A"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A2924FB" w14:textId="77777777" w:rsidR="00DF2B76" w:rsidRPr="00B327EB" w:rsidRDefault="00AB2DEF" w:rsidP="00BC658B">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 sensibilidad neta de las posiciones en cada instrumento frente a cambios en la tasa de interés, debe calcularse multiplicando la posición neta en dicho instrumento por su duración modificada y por el cambio asumido en la tasa de interés para la banda y moneda correspondientes según lo registrado en la Tabla 1.</w:t>
      </w:r>
    </w:p>
    <w:p w14:paraId="077C7D17" w14:textId="77777777" w:rsidR="00DF2B76" w:rsidRPr="00B327EB" w:rsidRDefault="00DF2B76" w:rsidP="00BC658B">
      <w:pPr>
        <w:pStyle w:val="Prrafodelista"/>
        <w:spacing w:after="0" w:line="240" w:lineRule="auto"/>
        <w:ind w:left="567" w:hanging="283"/>
        <w:jc w:val="both"/>
        <w:rPr>
          <w:rFonts w:ascii="Arial" w:eastAsia="Times New Roman" w:hAnsi="Arial" w:cs="Arial"/>
          <w:sz w:val="18"/>
          <w:szCs w:val="18"/>
          <w:lang w:val="es-ES" w:eastAsia="es-ES"/>
        </w:rPr>
      </w:pPr>
    </w:p>
    <w:p w14:paraId="4DD78EE8" w14:textId="3E1560CA" w:rsidR="00DF2B76" w:rsidRPr="00B327EB" w:rsidRDefault="00DF2B76" w:rsidP="00BC658B">
      <w:pPr>
        <w:pStyle w:val="Prrafodelista"/>
        <w:spacing w:after="0" w:line="240" w:lineRule="auto"/>
        <w:ind w:left="567"/>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los títulos “tasa variable” pactados a tasas de referencia nacionales, los cambios en tasa de interés aplicables para la realización del cálculo de esta sensibilidad neta corresponderán al respectivo choque de tasas registrado en la Tabla 1 para la moneda correspondiente.</w:t>
      </w:r>
    </w:p>
    <w:p w14:paraId="619232EB" w14:textId="77777777" w:rsidR="00DF2B76" w:rsidRPr="00B327EB" w:rsidRDefault="00DF2B76" w:rsidP="00BC658B">
      <w:pPr>
        <w:pStyle w:val="Prrafodelista"/>
        <w:spacing w:after="0" w:line="240" w:lineRule="auto"/>
        <w:ind w:left="567" w:hanging="283"/>
        <w:jc w:val="both"/>
        <w:rPr>
          <w:rFonts w:ascii="Arial" w:eastAsia="Times New Roman" w:hAnsi="Arial" w:cs="Arial"/>
          <w:sz w:val="18"/>
          <w:szCs w:val="18"/>
          <w:lang w:val="es-ES" w:eastAsia="es-ES"/>
        </w:rPr>
      </w:pPr>
    </w:p>
    <w:p w14:paraId="40B85D01" w14:textId="3EEF710E" w:rsidR="00DF2B76" w:rsidRPr="00B327EB" w:rsidRDefault="00DF2B76" w:rsidP="00BC658B">
      <w:pPr>
        <w:pStyle w:val="Prrafodelista"/>
        <w:spacing w:after="0" w:line="240" w:lineRule="auto"/>
        <w:ind w:left="567"/>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Para las escaleras de moneda extranjera y UVR, las posiciones netas deben ser expresadas en términos de moneda legal, de forma tal que las sensibilidades obtenidas estén denominadas en una única moneda.</w:t>
      </w:r>
    </w:p>
    <w:p w14:paraId="7BD4BDF6" w14:textId="77777777" w:rsidR="00DF2B76" w:rsidRPr="00B327EB" w:rsidRDefault="00DF2B76" w:rsidP="00BC658B">
      <w:pPr>
        <w:pStyle w:val="Prrafodelista"/>
        <w:spacing w:after="0" w:line="240" w:lineRule="auto"/>
        <w:ind w:left="567" w:hanging="283"/>
        <w:jc w:val="both"/>
        <w:rPr>
          <w:rFonts w:ascii="Arial" w:eastAsia="Times New Roman" w:hAnsi="Arial" w:cs="Arial"/>
          <w:sz w:val="18"/>
          <w:szCs w:val="18"/>
          <w:lang w:val="es-ES" w:eastAsia="es-ES"/>
        </w:rPr>
      </w:pPr>
    </w:p>
    <w:p w14:paraId="2B8874F7" w14:textId="77777777" w:rsidR="00DF2B76" w:rsidRPr="00B327EB" w:rsidRDefault="00AB2DEF" w:rsidP="00BC658B">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Dichas sensibilidades netas se clasifican en las escaleras de bandas correspondientes a la moneda de denominación del instrumento. Para cada una de estas escaleras se calculará separadamente la exposición a riesgo de tasa de interés, razón por la cual los procedimientos referidos en los numerales siguientes deberán ser realizados de manera independiente sin efectuar ajustes entre sensibilidades de posiciones denominadas en unidades diferentes.</w:t>
      </w:r>
    </w:p>
    <w:p w14:paraId="2CFBDF1B" w14:textId="77777777" w:rsidR="00DF2B76" w:rsidRPr="00B327EB" w:rsidRDefault="00DF2B76" w:rsidP="00BC658B">
      <w:pPr>
        <w:pStyle w:val="Prrafodelista"/>
        <w:spacing w:after="0" w:line="240" w:lineRule="auto"/>
        <w:ind w:left="567" w:hanging="283"/>
        <w:jc w:val="both"/>
        <w:rPr>
          <w:rFonts w:ascii="Arial" w:eastAsia="Times New Roman" w:hAnsi="Arial" w:cs="Arial"/>
          <w:sz w:val="18"/>
          <w:szCs w:val="18"/>
          <w:lang w:val="es-ES" w:eastAsia="es-ES"/>
        </w:rPr>
      </w:pPr>
    </w:p>
    <w:p w14:paraId="55AACB33" w14:textId="77777777" w:rsidR="00DF2B76" w:rsidRPr="00B327EB" w:rsidRDefault="00AB2DEF" w:rsidP="00BC658B">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Se calcula la sensibilidad neta de cada banda como la diferencia entre la suma de las sensibilidades de las posiciones largas y la suma de las sensibilidades de las posiciones cortas clasificadas en la banda en cuestión </w:t>
      </w:r>
    </w:p>
    <w:p w14:paraId="14424CCE" w14:textId="77777777" w:rsidR="00DF2B76" w:rsidRPr="00B327EB" w:rsidRDefault="00DF2B76" w:rsidP="00BC658B">
      <w:pPr>
        <w:pStyle w:val="Prrafodelista"/>
        <w:spacing w:after="0" w:line="240" w:lineRule="auto"/>
        <w:ind w:left="567" w:hanging="283"/>
        <w:jc w:val="both"/>
        <w:rPr>
          <w:rFonts w:ascii="Arial" w:eastAsia="Times New Roman" w:hAnsi="Arial" w:cs="Arial"/>
          <w:sz w:val="18"/>
          <w:szCs w:val="18"/>
          <w:lang w:val="es-ES" w:eastAsia="es-ES"/>
        </w:rPr>
      </w:pPr>
    </w:p>
    <w:p w14:paraId="4E89362E" w14:textId="727585F3" w:rsidR="00DF2B76" w:rsidRPr="00B327EB" w:rsidRDefault="00AB2DEF" w:rsidP="00BC658B">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Se calcula la sensibilidad neta de cada una de las </w:t>
      </w:r>
      <w:r w:rsidR="00903E18" w:rsidRPr="00B327EB">
        <w:rPr>
          <w:rFonts w:ascii="Arial" w:eastAsia="Times New Roman" w:hAnsi="Arial" w:cs="Arial"/>
          <w:sz w:val="18"/>
          <w:szCs w:val="18"/>
          <w:lang w:val="es-ES" w:eastAsia="es-ES"/>
        </w:rPr>
        <w:t>3</w:t>
      </w:r>
      <w:r w:rsidRPr="00B327EB">
        <w:rPr>
          <w:rFonts w:ascii="Arial" w:eastAsia="Times New Roman" w:hAnsi="Arial" w:cs="Arial"/>
          <w:sz w:val="18"/>
          <w:szCs w:val="18"/>
          <w:lang w:val="es-ES" w:eastAsia="es-ES"/>
        </w:rPr>
        <w:t xml:space="preserve"> zonas definidas en la Tabla 1, como la diferencia entre la suma de las sensibilidades netas positivas y el valor absoluto de la suma de las sensibilidades netas negativas correspondientes a las bandas pertenecientes a dicha zona según lo calculado en el</w:t>
      </w:r>
      <w:r w:rsidR="00DC4918" w:rsidRPr="00B327EB">
        <w:rPr>
          <w:rFonts w:ascii="Arial" w:eastAsia="Times New Roman" w:hAnsi="Arial" w:cs="Arial"/>
          <w:sz w:val="18"/>
          <w:szCs w:val="18"/>
          <w:lang w:val="es-ES" w:eastAsia="es-ES"/>
        </w:rPr>
        <w:t xml:space="preserve"> </w:t>
      </w:r>
      <w:r w:rsidR="0039729E" w:rsidRPr="00B327EB">
        <w:rPr>
          <w:rFonts w:ascii="Arial" w:eastAsia="Times New Roman" w:hAnsi="Arial" w:cs="Arial"/>
          <w:sz w:val="18"/>
          <w:szCs w:val="18"/>
          <w:lang w:val="es-ES" w:eastAsia="es-ES"/>
        </w:rPr>
        <w:t>iii</w:t>
      </w:r>
      <w:r w:rsidRPr="00B327EB">
        <w:rPr>
          <w:rFonts w:ascii="Arial" w:eastAsia="Times New Roman" w:hAnsi="Arial" w:cs="Arial"/>
          <w:sz w:val="18"/>
          <w:szCs w:val="18"/>
          <w:lang w:val="es-ES" w:eastAsia="es-ES"/>
        </w:rPr>
        <w:t xml:space="preserve"> del presente literal.</w:t>
      </w:r>
    </w:p>
    <w:p w14:paraId="00F05729" w14:textId="77777777" w:rsidR="00DF2B76" w:rsidRPr="00B327EB" w:rsidRDefault="00DF2B76" w:rsidP="00BC658B">
      <w:pPr>
        <w:pStyle w:val="Prrafodelista"/>
        <w:spacing w:after="0" w:line="240" w:lineRule="auto"/>
        <w:ind w:left="567" w:hanging="283"/>
        <w:jc w:val="both"/>
        <w:rPr>
          <w:rFonts w:ascii="Arial" w:eastAsia="Times New Roman" w:hAnsi="Arial" w:cs="Arial"/>
          <w:sz w:val="18"/>
          <w:szCs w:val="18"/>
          <w:lang w:val="es-ES" w:eastAsia="es-ES"/>
        </w:rPr>
      </w:pPr>
    </w:p>
    <w:p w14:paraId="1F4C6835" w14:textId="16FF6DA6" w:rsidR="00DF2B76" w:rsidRPr="00B327EB" w:rsidRDefault="00AB2DEF" w:rsidP="00BC658B">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Si las sensibilidades netas de las zonas 1 y 2, calculadas </w:t>
      </w:r>
      <w:r w:rsidR="00EE4FAC"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lo estipulado en el </w:t>
      </w:r>
      <w:r w:rsidR="00E81230" w:rsidRPr="00B327EB">
        <w:rPr>
          <w:rFonts w:ascii="Arial" w:eastAsia="Times New Roman" w:hAnsi="Arial" w:cs="Arial"/>
          <w:sz w:val="18"/>
          <w:szCs w:val="18"/>
          <w:lang w:val="es-ES" w:eastAsia="es-ES"/>
        </w:rPr>
        <w:t xml:space="preserve">iv </w:t>
      </w:r>
      <w:r w:rsidRPr="00B327EB">
        <w:rPr>
          <w:rFonts w:ascii="Arial" w:eastAsia="Times New Roman" w:hAnsi="Arial" w:cs="Arial"/>
          <w:sz w:val="18"/>
          <w:szCs w:val="18"/>
          <w:lang w:val="es-ES" w:eastAsia="es-ES"/>
        </w:rPr>
        <w:t>tienen signos contrarios se pueden compensar.</w:t>
      </w:r>
    </w:p>
    <w:p w14:paraId="51468874" w14:textId="77777777" w:rsidR="00DF2B76" w:rsidRPr="00B327EB" w:rsidRDefault="00DF2B76" w:rsidP="00BC658B">
      <w:pPr>
        <w:pStyle w:val="Prrafodelista"/>
        <w:spacing w:after="0" w:line="240" w:lineRule="auto"/>
        <w:ind w:left="567" w:hanging="283"/>
        <w:jc w:val="both"/>
        <w:rPr>
          <w:rFonts w:ascii="Arial" w:eastAsia="Times New Roman" w:hAnsi="Arial" w:cs="Arial"/>
          <w:sz w:val="18"/>
          <w:szCs w:val="18"/>
          <w:lang w:val="es-ES" w:eastAsia="es-ES"/>
        </w:rPr>
      </w:pPr>
    </w:p>
    <w:p w14:paraId="19EDAF42" w14:textId="77777777" w:rsidR="00AB2DEF" w:rsidRPr="00B327EB" w:rsidRDefault="00AB2DEF" w:rsidP="00BC658B">
      <w:pPr>
        <w:pStyle w:val="Prrafodelista"/>
        <w:numPr>
          <w:ilvl w:val="0"/>
          <w:numId w:val="16"/>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 Si las sensibilidades netas de las zonas 1 y 2 son del mismo signo, y la sensibilidad neta de la zona 3 es de signo contrario, las sensibilidades netas de las zonas 2 y 3 se pueden compensar</w:t>
      </w:r>
    </w:p>
    <w:p w14:paraId="08C54B14" w14:textId="77777777" w:rsidR="00354640" w:rsidRPr="00B327EB" w:rsidRDefault="00354640" w:rsidP="00631DF7">
      <w:pPr>
        <w:spacing w:after="0" w:line="240" w:lineRule="auto"/>
        <w:ind w:left="284" w:hanging="284"/>
        <w:jc w:val="both"/>
        <w:rPr>
          <w:rFonts w:ascii="Arial" w:eastAsia="Times New Roman" w:hAnsi="Arial" w:cs="Arial"/>
          <w:sz w:val="18"/>
          <w:szCs w:val="18"/>
          <w:lang w:val="es-ES" w:eastAsia="es-ES"/>
        </w:rPr>
      </w:pPr>
    </w:p>
    <w:p w14:paraId="4E69425B" w14:textId="3C7489AE" w:rsidR="00AB2DEF" w:rsidRPr="00B327EB" w:rsidRDefault="00AB2DEF" w:rsidP="00631DF7">
      <w:pPr>
        <w:pStyle w:val="Prrafodelista"/>
        <w:numPr>
          <w:ilvl w:val="0"/>
          <w:numId w:val="24"/>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Ajustes entre bandas y zonas</w:t>
      </w:r>
    </w:p>
    <w:p w14:paraId="4544EF8C" w14:textId="77777777" w:rsidR="00354640" w:rsidRPr="00B327EB" w:rsidRDefault="00354640" w:rsidP="00631DF7">
      <w:pPr>
        <w:spacing w:after="0" w:line="240" w:lineRule="auto"/>
        <w:ind w:left="284" w:hanging="284"/>
        <w:jc w:val="both"/>
        <w:rPr>
          <w:rFonts w:ascii="Arial" w:eastAsia="Times New Roman" w:hAnsi="Arial" w:cs="Arial"/>
          <w:sz w:val="18"/>
          <w:szCs w:val="18"/>
          <w:lang w:val="es-ES" w:eastAsia="es-ES"/>
        </w:rPr>
      </w:pPr>
    </w:p>
    <w:p w14:paraId="37236C8F" w14:textId="77777777" w:rsidR="00AB2DEF" w:rsidRPr="00B327EB" w:rsidRDefault="00AB2DEF" w:rsidP="00F86B33">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Dado que las posiciones al interior de cada banda, entre bandas y entre zonas no son homogéneas, se debe realizar el siguiente ajuste de las sensibilidades calculadas en el literal anterior, con base en los parámetros establecidos en la Tabla 1.</w:t>
      </w:r>
    </w:p>
    <w:p w14:paraId="76C4C157" w14:textId="77777777" w:rsidR="00354640" w:rsidRPr="00B327EB" w:rsidRDefault="00354640" w:rsidP="00631DF7">
      <w:pPr>
        <w:spacing w:after="0" w:line="240" w:lineRule="auto"/>
        <w:ind w:left="284" w:hanging="284"/>
        <w:jc w:val="both"/>
        <w:rPr>
          <w:rFonts w:ascii="Arial" w:eastAsia="Times New Roman" w:hAnsi="Arial" w:cs="Arial"/>
          <w:sz w:val="18"/>
          <w:szCs w:val="18"/>
          <w:lang w:val="es-ES" w:eastAsia="es-ES"/>
        </w:rPr>
      </w:pPr>
    </w:p>
    <w:p w14:paraId="65087912" w14:textId="77777777" w:rsidR="00DF2B76"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monto compensado al interior de cada banda (equivalente a la menor entre la suma de las sensibilidades de las posiciones largas y la suma de las sensibilidades de las posiciones cortas) es multiplicado por el factor de ajuste vertical indicado en la tabla 1 (β), para obtener el cargo por ajuste de sensibilidades al interior de una banda.</w:t>
      </w:r>
    </w:p>
    <w:p w14:paraId="1119A08D" w14:textId="77777777" w:rsidR="00DF2B76" w:rsidRPr="00B327EB" w:rsidRDefault="00DF2B76" w:rsidP="00F86B33">
      <w:pPr>
        <w:pStyle w:val="Prrafodelista"/>
        <w:spacing w:after="0" w:line="240" w:lineRule="auto"/>
        <w:ind w:left="567" w:hanging="283"/>
        <w:jc w:val="both"/>
        <w:rPr>
          <w:rFonts w:ascii="Arial" w:eastAsia="Times New Roman" w:hAnsi="Arial" w:cs="Arial"/>
          <w:sz w:val="18"/>
          <w:szCs w:val="18"/>
          <w:lang w:val="es-ES" w:eastAsia="es-ES"/>
        </w:rPr>
      </w:pPr>
    </w:p>
    <w:p w14:paraId="1F31021D" w14:textId="77777777" w:rsidR="00DF2B76"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monto compensado entre bandas de la misma zona es multiplicado por el factor de ajuste horizontal correspondiente a cada zona (λ1, λ2 y λ3), para obtener el cargo por ajuste de sensibilidades al interior de una zona.</w:t>
      </w:r>
    </w:p>
    <w:p w14:paraId="362AD18D" w14:textId="77777777" w:rsidR="00DF2B76" w:rsidRPr="00B327EB" w:rsidRDefault="00DF2B76" w:rsidP="00F86B33">
      <w:pPr>
        <w:pStyle w:val="Prrafodelista"/>
        <w:spacing w:after="0" w:line="240" w:lineRule="auto"/>
        <w:ind w:left="567" w:hanging="283"/>
        <w:rPr>
          <w:rFonts w:ascii="Arial" w:eastAsia="Times New Roman" w:hAnsi="Arial" w:cs="Arial"/>
          <w:sz w:val="18"/>
          <w:szCs w:val="18"/>
          <w:lang w:val="es-ES" w:eastAsia="es-ES"/>
        </w:rPr>
      </w:pPr>
    </w:p>
    <w:p w14:paraId="23B5DED9" w14:textId="77777777" w:rsidR="00DF2B76"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cargo por ajuste de sensibilidades entre las zonas 1 y 2 se calcula como el producto entre el monto compensado (equivalente al menor valor absoluto de las sensibilidades netas) y el factor de ajuste horizontal λ12.</w:t>
      </w:r>
    </w:p>
    <w:p w14:paraId="1332EF65" w14:textId="77777777" w:rsidR="00DF2B76" w:rsidRPr="00B327EB" w:rsidRDefault="00DF2B76" w:rsidP="00F86B33">
      <w:pPr>
        <w:pStyle w:val="Prrafodelista"/>
        <w:spacing w:after="0" w:line="240" w:lineRule="auto"/>
        <w:ind w:left="567" w:hanging="283"/>
        <w:rPr>
          <w:rFonts w:ascii="Arial" w:eastAsia="Times New Roman" w:hAnsi="Arial" w:cs="Arial"/>
          <w:sz w:val="18"/>
          <w:szCs w:val="18"/>
          <w:lang w:val="es-ES" w:eastAsia="es-ES"/>
        </w:rPr>
      </w:pPr>
    </w:p>
    <w:p w14:paraId="2416B0E3" w14:textId="77777777" w:rsidR="00DF2B76"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cargo por ajuste de sensibilidades entre las zonas 2 y 3 se calcula como el producto entre el monto compensado y el factor de ajuste horizontal λ23.</w:t>
      </w:r>
    </w:p>
    <w:p w14:paraId="158CBAFA" w14:textId="229F1B51" w:rsidR="00DF2B76" w:rsidRPr="00B327EB" w:rsidRDefault="00DF2B76" w:rsidP="00F86B33">
      <w:pPr>
        <w:pStyle w:val="Prrafodelista"/>
        <w:spacing w:after="0" w:line="240" w:lineRule="auto"/>
        <w:ind w:left="567" w:hanging="283"/>
        <w:rPr>
          <w:rFonts w:ascii="Arial" w:eastAsia="Times New Roman" w:hAnsi="Arial" w:cs="Arial"/>
          <w:sz w:val="18"/>
          <w:szCs w:val="18"/>
          <w:lang w:val="es-ES" w:eastAsia="es-ES"/>
        </w:rPr>
      </w:pPr>
    </w:p>
    <w:p w14:paraId="52EDB95F" w14:textId="163E6A82" w:rsidR="00DF2B76"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El cargo por ajuste descrito en el </w:t>
      </w:r>
      <w:r w:rsidR="00133352" w:rsidRPr="00B327EB">
        <w:rPr>
          <w:rFonts w:ascii="Arial" w:eastAsia="Times New Roman" w:hAnsi="Arial" w:cs="Arial"/>
          <w:sz w:val="18"/>
          <w:szCs w:val="18"/>
          <w:lang w:val="es-ES" w:eastAsia="es-ES"/>
        </w:rPr>
        <w:t>iv</w:t>
      </w:r>
      <w:r w:rsidRPr="00B327EB">
        <w:rPr>
          <w:rFonts w:ascii="Arial" w:eastAsia="Times New Roman" w:hAnsi="Arial" w:cs="Arial"/>
          <w:sz w:val="18"/>
          <w:szCs w:val="18"/>
          <w:lang w:val="es-ES" w:eastAsia="es-ES"/>
        </w:rPr>
        <w:t xml:space="preserve"> también debe ser utilizado cuando, habiendo realizado el procedimiento descrito en el </w:t>
      </w:r>
      <w:r w:rsidR="00DC4918" w:rsidRPr="00B327EB">
        <w:rPr>
          <w:rFonts w:ascii="Arial" w:eastAsia="Times New Roman" w:hAnsi="Arial" w:cs="Arial"/>
          <w:sz w:val="18"/>
          <w:szCs w:val="18"/>
          <w:lang w:val="es-ES" w:eastAsia="es-ES"/>
        </w:rPr>
        <w:t>iii</w:t>
      </w:r>
      <w:r w:rsidRPr="00B327EB">
        <w:rPr>
          <w:rFonts w:ascii="Arial" w:eastAsia="Times New Roman" w:hAnsi="Arial" w:cs="Arial"/>
          <w:sz w:val="18"/>
          <w:szCs w:val="18"/>
          <w:lang w:val="es-ES" w:eastAsia="es-ES"/>
        </w:rPr>
        <w:t>, la sensibilidad neta no compensada corresponda a la zona 2 (esto ocurre cuando el valor absoluto de la sensibilidad neta de esta zona es superior al valor absoluto de la sensibilidad neta de la zona 1) y tenga signo contrario a la sensibilidad neta de la zona 3.</w:t>
      </w:r>
    </w:p>
    <w:p w14:paraId="04ED6654" w14:textId="77777777" w:rsidR="00DF2B76" w:rsidRPr="00B327EB" w:rsidRDefault="00DF2B76" w:rsidP="00F86B33">
      <w:pPr>
        <w:pStyle w:val="Prrafodelista"/>
        <w:spacing w:after="0" w:line="240" w:lineRule="auto"/>
        <w:ind w:left="567" w:hanging="283"/>
        <w:rPr>
          <w:rFonts w:ascii="Arial" w:eastAsia="Times New Roman" w:hAnsi="Arial" w:cs="Arial"/>
          <w:sz w:val="18"/>
          <w:szCs w:val="18"/>
          <w:lang w:val="es-ES" w:eastAsia="es-ES"/>
        </w:rPr>
      </w:pPr>
    </w:p>
    <w:p w14:paraId="227B5ED0" w14:textId="2FDDD709" w:rsidR="00DF2B76"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los casos en </w:t>
      </w:r>
      <w:r w:rsidR="00885E5D" w:rsidRPr="00B327EB">
        <w:rPr>
          <w:rFonts w:ascii="Arial" w:eastAsia="Times New Roman" w:hAnsi="Arial" w:cs="Arial"/>
          <w:sz w:val="18"/>
          <w:szCs w:val="18"/>
          <w:lang w:val="es-ES" w:eastAsia="es-ES"/>
        </w:rPr>
        <w:t>que,</w:t>
      </w:r>
      <w:r w:rsidRPr="00B327EB">
        <w:rPr>
          <w:rFonts w:ascii="Arial" w:eastAsia="Times New Roman" w:hAnsi="Arial" w:cs="Arial"/>
          <w:sz w:val="18"/>
          <w:szCs w:val="18"/>
          <w:lang w:val="es-ES" w:eastAsia="es-ES"/>
        </w:rPr>
        <w:t xml:space="preserve"> habiendo realizado el ajuste descrito en el </w:t>
      </w:r>
      <w:r w:rsidR="00DC4918" w:rsidRPr="00B327EB">
        <w:rPr>
          <w:rFonts w:ascii="Arial" w:eastAsia="Times New Roman" w:hAnsi="Arial" w:cs="Arial"/>
          <w:sz w:val="18"/>
          <w:szCs w:val="18"/>
          <w:lang w:val="es-ES" w:eastAsia="es-ES"/>
        </w:rPr>
        <w:t>iii</w:t>
      </w:r>
      <w:r w:rsidRPr="00B327EB">
        <w:rPr>
          <w:rFonts w:ascii="Arial" w:eastAsia="Times New Roman" w:hAnsi="Arial" w:cs="Arial"/>
          <w:sz w:val="18"/>
          <w:szCs w:val="18"/>
          <w:lang w:val="es-ES" w:eastAsia="es-ES"/>
        </w:rPr>
        <w:t>, la sensibilidad neta no compensada corresponda a la zona 1 (esto ocurre cuando el valor absoluto de la sensibilidad neta de esta zona es superior al valor absoluto de la sensibilidad neta de la zona 2) y tenga signo contrario a la sensibilidad neta de la zona 3, estas se podrán compensar. El cargo por el ajuste de dichas sensibilidades se calcula como el producto entre el monto compensado y el factor de ajuste horizontal λ13.</w:t>
      </w:r>
    </w:p>
    <w:p w14:paraId="71F1112D" w14:textId="77777777" w:rsidR="00DF2B76" w:rsidRPr="00B327EB" w:rsidRDefault="00DF2B76" w:rsidP="00F86B33">
      <w:pPr>
        <w:pStyle w:val="Prrafodelista"/>
        <w:spacing w:after="0" w:line="240" w:lineRule="auto"/>
        <w:ind w:left="567" w:hanging="283"/>
        <w:rPr>
          <w:rFonts w:ascii="Arial" w:eastAsia="Times New Roman" w:hAnsi="Arial" w:cs="Arial"/>
          <w:sz w:val="18"/>
          <w:szCs w:val="18"/>
          <w:lang w:val="es-ES" w:eastAsia="es-ES"/>
        </w:rPr>
      </w:pPr>
    </w:p>
    <w:p w14:paraId="482CCD5B" w14:textId="7BEA720E" w:rsidR="00DF2B76"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El cargo por ajuste descrito en el </w:t>
      </w:r>
      <w:r w:rsidR="00B33F7B" w:rsidRPr="00B327EB">
        <w:rPr>
          <w:rFonts w:ascii="Arial" w:eastAsia="Times New Roman" w:hAnsi="Arial" w:cs="Arial"/>
          <w:sz w:val="18"/>
          <w:szCs w:val="18"/>
          <w:lang w:val="es-ES" w:eastAsia="es-ES"/>
        </w:rPr>
        <w:t>vi</w:t>
      </w:r>
      <w:r w:rsidRPr="00B327EB">
        <w:rPr>
          <w:rFonts w:ascii="Arial" w:eastAsia="Times New Roman" w:hAnsi="Arial" w:cs="Arial"/>
          <w:sz w:val="18"/>
          <w:szCs w:val="18"/>
          <w:lang w:val="es-ES" w:eastAsia="es-ES"/>
        </w:rPr>
        <w:t xml:space="preserve"> también debe aplicarse en los casos en que, habiendo realizado el procedimiento descrito en el </w:t>
      </w:r>
      <w:r w:rsidR="00DC4918" w:rsidRPr="00B327EB">
        <w:rPr>
          <w:rFonts w:ascii="Arial" w:eastAsia="Times New Roman" w:hAnsi="Arial" w:cs="Arial"/>
          <w:sz w:val="18"/>
          <w:szCs w:val="18"/>
          <w:lang w:val="es-ES" w:eastAsia="es-ES"/>
        </w:rPr>
        <w:t>iv</w:t>
      </w:r>
      <w:r w:rsidRPr="00B327EB">
        <w:rPr>
          <w:rFonts w:ascii="Arial" w:eastAsia="Times New Roman" w:hAnsi="Arial" w:cs="Arial"/>
          <w:sz w:val="18"/>
          <w:szCs w:val="18"/>
          <w:lang w:val="es-ES" w:eastAsia="es-ES"/>
        </w:rPr>
        <w:t>, la sensibilidad neta no compensada corresponda a la zona 3 (esto ocurre cuando el valor absoluto de la sensibilidad neta de esta zona es superior al valor absoluto de la sensibilidad neta de la zona 2) y tenga signo contrario a la sensibilidad neta de la zona 1.</w:t>
      </w:r>
    </w:p>
    <w:p w14:paraId="79CEE602" w14:textId="77777777" w:rsidR="00DF2B76" w:rsidRPr="00B327EB" w:rsidRDefault="00DF2B76" w:rsidP="00F86B33">
      <w:pPr>
        <w:pStyle w:val="Prrafodelista"/>
        <w:spacing w:after="0" w:line="240" w:lineRule="auto"/>
        <w:ind w:left="567" w:hanging="283"/>
        <w:rPr>
          <w:rFonts w:ascii="Arial" w:eastAsia="Times New Roman" w:hAnsi="Arial" w:cs="Arial"/>
          <w:sz w:val="18"/>
          <w:szCs w:val="18"/>
          <w:lang w:val="es-ES" w:eastAsia="es-ES"/>
        </w:rPr>
      </w:pPr>
    </w:p>
    <w:p w14:paraId="115AE5A6" w14:textId="24B8BB69" w:rsidR="00AB2DEF" w:rsidRPr="00B327EB" w:rsidRDefault="00AB2DEF" w:rsidP="00F86B33">
      <w:pPr>
        <w:pStyle w:val="Prrafodelista"/>
        <w:numPr>
          <w:ilvl w:val="0"/>
          <w:numId w:val="21"/>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Luego de realizar, según corresponda, los ajustes descritos en los literales anteriores se obtiene la sensibilidad neta del portafolio que agrupa las sensibilidades que no se pudieron compensar.</w:t>
      </w:r>
    </w:p>
    <w:p w14:paraId="5DFA65D0" w14:textId="77777777" w:rsidR="00C66C15" w:rsidRPr="00B327EB" w:rsidRDefault="00C66C15" w:rsidP="00C66C15">
      <w:pPr>
        <w:spacing w:after="0" w:line="240" w:lineRule="auto"/>
        <w:jc w:val="both"/>
        <w:rPr>
          <w:rFonts w:ascii="Arial" w:eastAsia="Times New Roman" w:hAnsi="Arial" w:cs="Arial"/>
          <w:sz w:val="18"/>
          <w:szCs w:val="18"/>
          <w:lang w:val="es-ES" w:eastAsia="es-ES"/>
        </w:rPr>
      </w:pPr>
    </w:p>
    <w:p w14:paraId="6728BBC9" w14:textId="7F65BA89" w:rsidR="00AB2DEF" w:rsidRPr="00B327EB" w:rsidRDefault="00AB2DEF" w:rsidP="00631DF7">
      <w:p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c. Cálculo del riesgo de tasa de interés para cada escalera de bandas</w:t>
      </w:r>
      <w:r w:rsidR="00C66C15" w:rsidRPr="00B327EB">
        <w:rPr>
          <w:rFonts w:ascii="Arial" w:eastAsia="Times New Roman" w:hAnsi="Arial" w:cs="Arial"/>
          <w:sz w:val="18"/>
          <w:szCs w:val="18"/>
          <w:lang w:val="es-ES" w:eastAsia="es-ES"/>
        </w:rPr>
        <w:t>.</w:t>
      </w:r>
    </w:p>
    <w:p w14:paraId="7CB20FC7" w14:textId="77777777" w:rsidR="00C66C15" w:rsidRPr="00B327EB" w:rsidRDefault="00C66C15" w:rsidP="00631DF7">
      <w:pPr>
        <w:spacing w:after="0" w:line="240" w:lineRule="auto"/>
        <w:ind w:left="284" w:hanging="284"/>
        <w:jc w:val="both"/>
        <w:rPr>
          <w:rFonts w:ascii="Arial" w:eastAsia="Times New Roman" w:hAnsi="Arial" w:cs="Arial"/>
          <w:sz w:val="18"/>
          <w:szCs w:val="18"/>
          <w:lang w:val="es-ES" w:eastAsia="es-ES"/>
        </w:rPr>
      </w:pPr>
    </w:p>
    <w:p w14:paraId="20B90DD9" w14:textId="77777777" w:rsidR="00AB2DEF" w:rsidRPr="00B327EB" w:rsidRDefault="00AB2DEF" w:rsidP="00C66C15">
      <w:pPr>
        <w:spacing w:after="0" w:line="240" w:lineRule="auto"/>
        <w:ind w:left="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Teniendo en cuenta los procedimientos descritos, el riesgo de tasa de interés para cada una de las escaleras de bandas corresponde a la sumatoria de:</w:t>
      </w:r>
    </w:p>
    <w:p w14:paraId="76551306" w14:textId="77777777" w:rsidR="00AB2DEF" w:rsidRPr="00B327EB" w:rsidRDefault="00AB2DEF" w:rsidP="00631DF7">
      <w:pPr>
        <w:spacing w:after="0" w:line="240" w:lineRule="auto"/>
        <w:ind w:left="284" w:hanging="284"/>
        <w:jc w:val="both"/>
        <w:rPr>
          <w:rFonts w:ascii="Arial" w:eastAsia="Times New Roman" w:hAnsi="Arial" w:cs="Arial"/>
          <w:sz w:val="18"/>
          <w:szCs w:val="18"/>
          <w:lang w:val="es-ES" w:eastAsia="es-ES"/>
        </w:rPr>
      </w:pPr>
    </w:p>
    <w:p w14:paraId="38C7BB2D" w14:textId="77777777" w:rsidR="00DF2B76" w:rsidRPr="00B327EB" w:rsidRDefault="00AB2DEF" w:rsidP="00C66C15">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cargo por ajuste vertical de cada una de las bandas descrito en el literal b.i.</w:t>
      </w:r>
    </w:p>
    <w:p w14:paraId="616479B3" w14:textId="77777777" w:rsidR="00DF2B76" w:rsidRPr="00B327EB" w:rsidRDefault="00AB2DEF" w:rsidP="00C66C15">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cargo por ajuste al interior de las zonas descrito en el literal b.ii.</w:t>
      </w:r>
    </w:p>
    <w:p w14:paraId="669DA563" w14:textId="77777777" w:rsidR="00DF2B76" w:rsidRPr="00B327EB" w:rsidRDefault="00AB2DEF" w:rsidP="00C66C15">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cargo por ajuste entre las zonas 1 y 2 descrito en el literal b.iii.</w:t>
      </w:r>
    </w:p>
    <w:p w14:paraId="48DEAD3E" w14:textId="77777777" w:rsidR="00DF2B76" w:rsidRPr="00B327EB" w:rsidRDefault="00AB2DEF" w:rsidP="00C66C15">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cargo por ajuste entre las zonas 2 y 3 descrito en los literales b.iv y b.v.</w:t>
      </w:r>
    </w:p>
    <w:p w14:paraId="21A8FB0B" w14:textId="77777777" w:rsidR="00DF2B76" w:rsidRPr="00B327EB" w:rsidRDefault="00AB2DEF" w:rsidP="00C66C15">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cargo por ajuste entre las zonas 1 y 3 descrito en los literales b.vi y b.vii.</w:t>
      </w:r>
    </w:p>
    <w:p w14:paraId="6AB38E77" w14:textId="787249FD" w:rsidR="00AB2DEF" w:rsidRPr="00B327EB" w:rsidRDefault="00AB2DEF" w:rsidP="00C66C15">
      <w:pPr>
        <w:pStyle w:val="Prrafodelista"/>
        <w:numPr>
          <w:ilvl w:val="0"/>
          <w:numId w:val="17"/>
        </w:numPr>
        <w:spacing w:after="0" w:line="240" w:lineRule="auto"/>
        <w:ind w:left="567" w:hanging="283"/>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La posición neta ponderada del portafolio descrita en el literal </w:t>
      </w:r>
      <w:r w:rsidR="000B6E59" w:rsidRPr="00B327EB">
        <w:rPr>
          <w:rFonts w:ascii="Arial" w:eastAsia="Times New Roman" w:hAnsi="Arial" w:cs="Arial"/>
          <w:sz w:val="18"/>
          <w:szCs w:val="18"/>
          <w:lang w:val="es-ES" w:eastAsia="es-ES"/>
        </w:rPr>
        <w:t>b. viii.</w:t>
      </w:r>
    </w:p>
    <w:p w14:paraId="500A0650" w14:textId="77777777" w:rsidR="00AB2DEF" w:rsidRPr="00B327EB" w:rsidRDefault="00AB2DEF" w:rsidP="00C66C15">
      <w:pPr>
        <w:spacing w:after="0" w:line="240" w:lineRule="auto"/>
        <w:ind w:left="567" w:hanging="283"/>
        <w:jc w:val="both"/>
        <w:rPr>
          <w:rFonts w:ascii="Arial" w:eastAsia="Times New Roman" w:hAnsi="Arial" w:cs="Arial"/>
          <w:sz w:val="18"/>
          <w:szCs w:val="18"/>
          <w:lang w:val="es-ES" w:eastAsia="es-ES"/>
        </w:rPr>
      </w:pPr>
    </w:p>
    <w:p w14:paraId="4DD42021" w14:textId="77777777" w:rsidR="00AB2DEF" w:rsidRPr="00B327EB" w:rsidRDefault="00AB2DEF" w:rsidP="00354640">
      <w:pPr>
        <w:spacing w:after="0" w:line="240" w:lineRule="auto"/>
        <w:jc w:val="center"/>
        <w:rPr>
          <w:rFonts w:ascii="Arial" w:eastAsia="Times New Roman" w:hAnsi="Arial" w:cs="Arial"/>
          <w:b/>
          <w:bCs/>
          <w:sz w:val="18"/>
          <w:szCs w:val="18"/>
          <w:lang w:val="es-ES" w:eastAsia="es-ES"/>
        </w:rPr>
      </w:pPr>
      <w:r w:rsidRPr="00B327EB">
        <w:rPr>
          <w:rFonts w:ascii="Arial" w:eastAsia="Times New Roman" w:hAnsi="Arial" w:cs="Arial"/>
          <w:b/>
          <w:bCs/>
          <w:sz w:val="18"/>
          <w:szCs w:val="18"/>
          <w:lang w:val="es-ES" w:eastAsia="es-ES"/>
        </w:rPr>
        <w:t>Tabla 1</w:t>
      </w:r>
    </w:p>
    <w:p w14:paraId="5DE17E2F" w14:textId="77777777" w:rsidR="00AB2DEF" w:rsidRPr="00B327EB" w:rsidRDefault="00AB2DEF" w:rsidP="00354640">
      <w:pPr>
        <w:spacing w:after="0" w:line="240" w:lineRule="auto"/>
        <w:jc w:val="center"/>
        <w:rPr>
          <w:rFonts w:ascii="Arial" w:eastAsia="Times New Roman" w:hAnsi="Arial" w:cs="Arial"/>
          <w:b/>
          <w:bCs/>
          <w:sz w:val="18"/>
          <w:szCs w:val="18"/>
          <w:lang w:val="es-ES" w:eastAsia="es-ES"/>
        </w:rPr>
      </w:pPr>
      <w:r w:rsidRPr="00B327EB">
        <w:rPr>
          <w:rFonts w:ascii="Arial" w:eastAsia="Times New Roman" w:hAnsi="Arial" w:cs="Arial"/>
          <w:b/>
          <w:bCs/>
          <w:sz w:val="18"/>
          <w:szCs w:val="18"/>
          <w:lang w:val="es-ES" w:eastAsia="es-ES"/>
        </w:rPr>
        <w:t>Bandas, Choques de tasas de interés y factores de ajuste vertical y horizontal.</w:t>
      </w:r>
    </w:p>
    <w:p w14:paraId="2EB2B601" w14:textId="77777777" w:rsidR="00AB2DEF" w:rsidRPr="00B327EB" w:rsidRDefault="00AB2DEF" w:rsidP="00354640">
      <w:pPr>
        <w:spacing w:after="0" w:line="240" w:lineRule="auto"/>
        <w:jc w:val="center"/>
        <w:rPr>
          <w:rFonts w:ascii="Arial" w:eastAsia="Times New Roman" w:hAnsi="Arial" w:cs="Arial"/>
          <w:b/>
          <w:bCs/>
          <w:sz w:val="18"/>
          <w:szCs w:val="18"/>
          <w:lang w:val="es-ES" w:eastAsia="es-ES"/>
        </w:rPr>
      </w:pPr>
      <w:r w:rsidRPr="00B327EB">
        <w:rPr>
          <w:rFonts w:ascii="Arial" w:eastAsia="Times New Roman" w:hAnsi="Arial" w:cs="Arial"/>
          <w:b/>
          <w:bCs/>
          <w:sz w:val="18"/>
          <w:szCs w:val="18"/>
          <w:lang w:val="es-ES" w:eastAsia="es-ES"/>
        </w:rPr>
        <w:t>Riesgo general de tasa de interés</w:t>
      </w:r>
    </w:p>
    <w:p w14:paraId="18FD118B" w14:textId="6C3DA28C" w:rsidR="00AB2DEF" w:rsidRPr="00B327EB" w:rsidRDefault="00AB2DEF" w:rsidP="00354640">
      <w:pPr>
        <w:spacing w:after="0" w:line="240" w:lineRule="auto"/>
        <w:jc w:val="both"/>
        <w:rPr>
          <w:rFonts w:ascii="Arial" w:eastAsia="Times New Roman" w:hAnsi="Arial" w:cs="Arial"/>
          <w:sz w:val="18"/>
          <w:szCs w:val="18"/>
          <w:lang w:val="es-ES" w:eastAsia="es-ES"/>
        </w:rPr>
      </w:pPr>
    </w:p>
    <w:p w14:paraId="3F96B86B" w14:textId="77777777" w:rsidR="00AB2DEF" w:rsidRPr="00B327EB" w:rsidRDefault="00AB2DEF" w:rsidP="001A2602">
      <w:pPr>
        <w:spacing w:after="0" w:line="240" w:lineRule="auto"/>
        <w:jc w:val="center"/>
        <w:rPr>
          <w:rFonts w:ascii="Arial" w:eastAsia="Times New Roman" w:hAnsi="Arial" w:cs="Arial"/>
          <w:sz w:val="18"/>
          <w:szCs w:val="18"/>
          <w:lang w:val="es-ES" w:eastAsia="es-ES"/>
        </w:rPr>
      </w:pPr>
      <w:r w:rsidRPr="00B327EB">
        <w:rPr>
          <w:rFonts w:ascii="Arial" w:hAnsi="Arial" w:cs="Arial"/>
          <w:b/>
          <w:noProof/>
          <w:sz w:val="18"/>
          <w:szCs w:val="18"/>
          <w:lang w:eastAsia="es-CO"/>
        </w:rPr>
        <w:drawing>
          <wp:inline distT="0" distB="0" distL="0" distR="0" wp14:anchorId="08155507" wp14:editId="29B5A757">
            <wp:extent cx="5402580" cy="22098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6697" cy="2211484"/>
                    </a:xfrm>
                    <a:prstGeom prst="rect">
                      <a:avLst/>
                    </a:prstGeom>
                    <a:noFill/>
                    <a:ln>
                      <a:noFill/>
                    </a:ln>
                  </pic:spPr>
                </pic:pic>
              </a:graphicData>
            </a:graphic>
          </wp:inline>
        </w:drawing>
      </w:r>
    </w:p>
    <w:p w14:paraId="142DC02F" w14:textId="77777777" w:rsidR="00AB2DEF" w:rsidRPr="00B327EB" w:rsidRDefault="00AB2DEF" w:rsidP="00D14B57">
      <w:pPr>
        <w:spacing w:after="0" w:line="240" w:lineRule="auto"/>
        <w:jc w:val="both"/>
        <w:rPr>
          <w:rFonts w:ascii="Arial" w:eastAsia="Times New Roman" w:hAnsi="Arial" w:cs="Arial"/>
          <w:sz w:val="18"/>
          <w:szCs w:val="18"/>
          <w:lang w:val="es-ES" w:eastAsia="es-ES"/>
        </w:rPr>
      </w:pPr>
    </w:p>
    <w:p w14:paraId="3A328059"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Los factores en la Tabla 1 serán revisados por la SFC y podrán ser modificados cuando los niveles establecidos no reflejen apropiadamente la sensibilidad de las posiciones expuestas al riesgo de tasa de interés.</w:t>
      </w:r>
    </w:p>
    <w:p w14:paraId="15DDFA4A"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E72B5CB"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2.2.3 Determinación exposición total</w:t>
      </w:r>
    </w:p>
    <w:p w14:paraId="1B41A05B"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1B4EFF5" w14:textId="748A3B24"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el cálculo de la exposición al riesgo de tasa de interés deben sumarse los valores correspondientes al riesgo para cada escalera de bandas, calculados según lo descrito en el subnumeral </w:t>
      </w:r>
      <w:r w:rsidR="004B55FF" w:rsidRPr="00B327EB">
        <w:rPr>
          <w:rFonts w:ascii="Arial" w:eastAsia="Times New Roman" w:hAnsi="Arial" w:cs="Arial"/>
          <w:sz w:val="18"/>
          <w:szCs w:val="18"/>
          <w:lang w:val="es-ES" w:eastAsia="es-ES"/>
        </w:rPr>
        <w:t>2.2.1</w:t>
      </w:r>
      <w:r w:rsidRPr="00B327EB">
        <w:rPr>
          <w:rFonts w:ascii="Arial" w:eastAsia="Times New Roman" w:hAnsi="Arial" w:cs="Arial"/>
          <w:sz w:val="18"/>
          <w:szCs w:val="18"/>
          <w:lang w:val="es-ES" w:eastAsia="es-ES"/>
        </w:rPr>
        <w:t xml:space="preserve"> del presente anexo. Adicionalmente, deben añadirse cuando correspondan los siguientes cargos asociados a las posiciones en opciones:</w:t>
      </w:r>
    </w:p>
    <w:p w14:paraId="0F9BAFD1"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5666139" w14:textId="1E683C03" w:rsidR="00AB2DEF" w:rsidRPr="00B327EB" w:rsidRDefault="00AB2DEF" w:rsidP="00E852B2">
      <w:pPr>
        <w:pStyle w:val="Prrafodelista"/>
        <w:numPr>
          <w:ilvl w:val="0"/>
          <w:numId w:val="25"/>
        </w:numPr>
        <w:tabs>
          <w:tab w:val="left" w:pos="630"/>
        </w:tabs>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las entidades elegibles para el tratamiento simplificado de opciones descrito en el numeral </w:t>
      </w:r>
      <w:r w:rsidR="004B55FF" w:rsidRPr="00B327EB">
        <w:rPr>
          <w:rFonts w:ascii="Arial" w:eastAsia="Times New Roman" w:hAnsi="Arial" w:cs="Arial"/>
          <w:sz w:val="18"/>
          <w:szCs w:val="18"/>
          <w:lang w:val="es-ES" w:eastAsia="es-ES"/>
        </w:rPr>
        <w:t>2.6</w:t>
      </w:r>
      <w:r w:rsidRPr="00B327EB">
        <w:rPr>
          <w:rFonts w:ascii="Arial" w:eastAsia="Times New Roman" w:hAnsi="Arial" w:cs="Arial"/>
          <w:sz w:val="18"/>
          <w:szCs w:val="18"/>
          <w:lang w:val="es-ES" w:eastAsia="es-ES"/>
        </w:rPr>
        <w:t xml:space="preserve"> del presente anexo, la exposición resultante de las posiciones en opciones cuyos subyacentes sean tasas de interés o títulos de deuda, o</w:t>
      </w:r>
    </w:p>
    <w:p w14:paraId="490D4DA3" w14:textId="77777777" w:rsidR="00354640" w:rsidRPr="00B327EB" w:rsidRDefault="00354640" w:rsidP="00E852B2">
      <w:pPr>
        <w:spacing w:after="0" w:line="240" w:lineRule="auto"/>
        <w:ind w:left="284" w:hanging="284"/>
        <w:jc w:val="both"/>
        <w:rPr>
          <w:rFonts w:ascii="Arial" w:eastAsia="Times New Roman" w:hAnsi="Arial" w:cs="Arial"/>
          <w:sz w:val="18"/>
          <w:szCs w:val="18"/>
          <w:lang w:val="es-ES" w:eastAsia="es-ES"/>
        </w:rPr>
      </w:pPr>
    </w:p>
    <w:p w14:paraId="63AC8BAA" w14:textId="177AE6F8" w:rsidR="00AB2DEF" w:rsidRPr="00B327EB" w:rsidRDefault="00AB2DEF" w:rsidP="00E852B2">
      <w:pPr>
        <w:pStyle w:val="Prrafodelista"/>
        <w:numPr>
          <w:ilvl w:val="0"/>
          <w:numId w:val="25"/>
        </w:numPr>
        <w:tabs>
          <w:tab w:val="left" w:pos="630"/>
        </w:tabs>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las entidades que deban aplicar la metodología intermedia descrita en el numeral </w:t>
      </w:r>
      <w:r w:rsidR="004B55FF" w:rsidRPr="00B327EB">
        <w:rPr>
          <w:rFonts w:ascii="Arial" w:eastAsia="Times New Roman" w:hAnsi="Arial" w:cs="Arial"/>
          <w:sz w:val="18"/>
          <w:szCs w:val="18"/>
          <w:lang w:val="es-ES" w:eastAsia="es-ES"/>
        </w:rPr>
        <w:t>2.6</w:t>
      </w:r>
      <w:r w:rsidRPr="00B327EB">
        <w:rPr>
          <w:rFonts w:ascii="Arial" w:eastAsia="Times New Roman" w:hAnsi="Arial" w:cs="Arial"/>
          <w:sz w:val="18"/>
          <w:szCs w:val="18"/>
          <w:lang w:val="es-ES" w:eastAsia="es-ES"/>
        </w:rPr>
        <w:t xml:space="preserve"> del presente </w:t>
      </w:r>
      <w:r w:rsidR="00EB2357">
        <w:rPr>
          <w:rFonts w:ascii="Arial" w:eastAsia="Times New Roman" w:hAnsi="Arial" w:cs="Arial"/>
          <w:sz w:val="18"/>
          <w:szCs w:val="18"/>
          <w:lang w:val="es-ES" w:eastAsia="es-ES"/>
        </w:rPr>
        <w:t>A</w:t>
      </w:r>
      <w:r w:rsidRPr="00B327EB">
        <w:rPr>
          <w:rFonts w:ascii="Arial" w:eastAsia="Times New Roman" w:hAnsi="Arial" w:cs="Arial"/>
          <w:sz w:val="18"/>
          <w:szCs w:val="18"/>
          <w:lang w:val="es-ES" w:eastAsia="es-ES"/>
        </w:rPr>
        <w:t>nexo, los cargos correspondientes a los riesgos Gamma y Vega de dichas opciones.</w:t>
      </w:r>
    </w:p>
    <w:p w14:paraId="75279AC7" w14:textId="77777777" w:rsidR="00354640" w:rsidRPr="00B327EB" w:rsidRDefault="00354640" w:rsidP="00354640">
      <w:pPr>
        <w:spacing w:after="0" w:line="240" w:lineRule="auto"/>
        <w:jc w:val="both"/>
        <w:rPr>
          <w:rFonts w:ascii="Arial" w:eastAsia="Times New Roman" w:hAnsi="Arial" w:cs="Arial"/>
          <w:b/>
          <w:sz w:val="18"/>
          <w:szCs w:val="18"/>
          <w:lang w:val="es-ES" w:eastAsia="es-ES"/>
        </w:rPr>
      </w:pPr>
    </w:p>
    <w:p w14:paraId="6D76EF4B" w14:textId="187F1BC1"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Riesgo de tasa de cambio</w:t>
      </w:r>
    </w:p>
    <w:p w14:paraId="3315FA91" w14:textId="77777777" w:rsidR="00354640" w:rsidRPr="00B327EB" w:rsidRDefault="00354640" w:rsidP="00354640">
      <w:pPr>
        <w:spacing w:after="0" w:line="240" w:lineRule="auto"/>
        <w:jc w:val="both"/>
        <w:rPr>
          <w:rFonts w:ascii="Arial" w:eastAsia="Times New Roman" w:hAnsi="Arial" w:cs="Arial"/>
          <w:b/>
          <w:sz w:val="18"/>
          <w:szCs w:val="18"/>
          <w:lang w:val="es-ES" w:eastAsia="es-ES"/>
        </w:rPr>
      </w:pPr>
    </w:p>
    <w:p w14:paraId="06C6F7BA"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Esta sección muestra la metodología para calcular el requerimiento mínimo de capital necesario para cubrir los riesgos asociados a tomar o mantener posiciones denominadas en monedas extranjeras, tanto en el libro de tesorería como en el bancario.</w:t>
      </w:r>
    </w:p>
    <w:p w14:paraId="72B29C2F"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1A1A4834"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calcular la posición neta en cada moneda deben sumarse las siguientes posiciones:</w:t>
      </w:r>
    </w:p>
    <w:p w14:paraId="3AD16BE2"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7D50BE1D" w14:textId="54701A26" w:rsidR="00AB2DEF" w:rsidRPr="00B327EB" w:rsidRDefault="00AB2DEF" w:rsidP="00321643">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 posición neta de las operaciones spot de la entidad, calculada como la diferencia entre los activos y los pasivos, incluyendo en ambos casos los intereses causados, denominados en la moneda en cuestión.</w:t>
      </w:r>
    </w:p>
    <w:p w14:paraId="0B7CF92E" w14:textId="77777777" w:rsidR="00354640" w:rsidRPr="00B327EB" w:rsidRDefault="00354640" w:rsidP="00321643">
      <w:pPr>
        <w:spacing w:after="0" w:line="240" w:lineRule="auto"/>
        <w:ind w:left="284" w:hanging="284"/>
        <w:jc w:val="both"/>
        <w:rPr>
          <w:rFonts w:ascii="Arial" w:eastAsia="Times New Roman" w:hAnsi="Arial" w:cs="Arial"/>
          <w:sz w:val="18"/>
          <w:szCs w:val="18"/>
          <w:lang w:val="es-ES" w:eastAsia="es-ES"/>
        </w:rPr>
      </w:pPr>
    </w:p>
    <w:p w14:paraId="1D9A6CD4" w14:textId="009AD294" w:rsidR="00AB2DEF" w:rsidRPr="00B327EB" w:rsidRDefault="00AB2DEF" w:rsidP="00321643">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 posición neta de las operaciones forward de la entidad, calculada como la diferencia entre las posiciones largas en forwards, futuros y operaciones a plazo sobre la moneda en cuestión, y las posiciones cortas en dichos instrumentos.</w:t>
      </w:r>
    </w:p>
    <w:p w14:paraId="55104297" w14:textId="77777777" w:rsidR="00354640" w:rsidRPr="00B327EB" w:rsidRDefault="00354640" w:rsidP="00321643">
      <w:pPr>
        <w:pStyle w:val="Prrafodelista"/>
        <w:spacing w:after="0" w:line="240" w:lineRule="auto"/>
        <w:ind w:left="284" w:hanging="284"/>
        <w:jc w:val="both"/>
        <w:rPr>
          <w:rFonts w:ascii="Arial" w:eastAsia="Times New Roman" w:hAnsi="Arial" w:cs="Arial"/>
          <w:sz w:val="18"/>
          <w:szCs w:val="18"/>
          <w:lang w:val="es-ES" w:eastAsia="es-ES"/>
        </w:rPr>
      </w:pPr>
    </w:p>
    <w:p w14:paraId="484DB218" w14:textId="4B309F00" w:rsidR="00AB2DEF" w:rsidRPr="00B327EB" w:rsidRDefault="00AB2DEF" w:rsidP="00321643">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La posición neta de las operaciones en derivados de la entidad cuyo subyacente no sea una </w:t>
      </w:r>
      <w:r w:rsidR="00812B37" w:rsidRPr="00B327EB">
        <w:rPr>
          <w:rFonts w:ascii="Arial" w:eastAsia="Times New Roman" w:hAnsi="Arial" w:cs="Arial"/>
          <w:sz w:val="18"/>
          <w:szCs w:val="18"/>
          <w:lang w:val="es-ES" w:eastAsia="es-ES"/>
        </w:rPr>
        <w:t>divisa,</w:t>
      </w:r>
      <w:r w:rsidRPr="00B327EB">
        <w:rPr>
          <w:rFonts w:ascii="Arial" w:eastAsia="Times New Roman" w:hAnsi="Arial" w:cs="Arial"/>
          <w:sz w:val="18"/>
          <w:szCs w:val="18"/>
          <w:lang w:val="es-ES" w:eastAsia="es-ES"/>
        </w:rPr>
        <w:t xml:space="preserve"> pero si un título o una tasa de interés denominados en dicha moneda. Para calcular esta posición deberá computarse la diferencia entre las posiciones nocionales largas y las posiciones nocionales cortas determinadas de acuerdo a lo previsto en el numeral 2.1.1 del presente anexo.</w:t>
      </w:r>
    </w:p>
    <w:p w14:paraId="2BEC6013" w14:textId="77777777" w:rsidR="00354640" w:rsidRPr="00B327EB" w:rsidRDefault="00354640" w:rsidP="00321643">
      <w:pPr>
        <w:pStyle w:val="Prrafodelista"/>
        <w:spacing w:after="0" w:line="240" w:lineRule="auto"/>
        <w:ind w:left="284" w:hanging="284"/>
        <w:jc w:val="both"/>
        <w:rPr>
          <w:rFonts w:ascii="Arial" w:eastAsia="Times New Roman" w:hAnsi="Arial" w:cs="Arial"/>
          <w:sz w:val="18"/>
          <w:szCs w:val="18"/>
          <w:lang w:val="es-ES" w:eastAsia="es-ES"/>
        </w:rPr>
      </w:pPr>
    </w:p>
    <w:p w14:paraId="67B61B95" w14:textId="41B1DB42" w:rsidR="00AB2DEF" w:rsidRPr="00B327EB" w:rsidRDefault="00AB2DEF" w:rsidP="00321643">
      <w:pPr>
        <w:pStyle w:val="Prrafodelista"/>
        <w:numPr>
          <w:ilvl w:val="0"/>
          <w:numId w:val="26"/>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 xml:space="preserve">Adicionalmente, cuando corresponda según lo previsto en el </w:t>
      </w:r>
      <w:r w:rsidR="004D1FC4" w:rsidRPr="00B327EB">
        <w:rPr>
          <w:rFonts w:ascii="Arial" w:eastAsia="Times New Roman" w:hAnsi="Arial" w:cs="Arial"/>
          <w:sz w:val="18"/>
          <w:szCs w:val="18"/>
          <w:lang w:val="es-ES" w:eastAsia="es-ES"/>
        </w:rPr>
        <w:t>sub</w:t>
      </w:r>
      <w:r w:rsidRPr="00B327EB">
        <w:rPr>
          <w:rFonts w:ascii="Arial" w:eastAsia="Times New Roman" w:hAnsi="Arial" w:cs="Arial"/>
          <w:sz w:val="18"/>
          <w:szCs w:val="18"/>
          <w:lang w:val="es-ES" w:eastAsia="es-ES"/>
        </w:rPr>
        <w:t xml:space="preserve">numeral </w:t>
      </w:r>
      <w:r w:rsidR="0083206C" w:rsidRPr="00B327EB">
        <w:rPr>
          <w:rFonts w:ascii="Arial" w:eastAsia="Times New Roman" w:hAnsi="Arial" w:cs="Arial"/>
          <w:sz w:val="18"/>
          <w:szCs w:val="18"/>
          <w:lang w:val="es-ES" w:eastAsia="es-ES"/>
        </w:rPr>
        <w:t>2.6</w:t>
      </w:r>
      <w:r w:rsidRPr="00B327EB">
        <w:rPr>
          <w:rFonts w:ascii="Arial" w:eastAsia="Times New Roman" w:hAnsi="Arial" w:cs="Arial"/>
          <w:sz w:val="18"/>
          <w:szCs w:val="18"/>
          <w:lang w:val="es-ES" w:eastAsia="es-ES"/>
        </w:rPr>
        <w:t xml:space="preserve"> del presente anexo, las posiciones delta ponderadas de opciones en monedas.</w:t>
      </w:r>
    </w:p>
    <w:p w14:paraId="59D55892"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504D0D4D" w14:textId="1B630ECE"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Una vez obtenida la posición neta de cada moneda, su equivalente en moneda legal se calculará de la siguiente manera:</w:t>
      </w:r>
    </w:p>
    <w:p w14:paraId="423BBAE5"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37042B93" w14:textId="77777777" w:rsidR="00DF2B76" w:rsidRPr="00B327EB" w:rsidRDefault="00AB2DEF" w:rsidP="003806E8">
      <w:pPr>
        <w:pStyle w:val="Prrafodelista"/>
        <w:numPr>
          <w:ilvl w:val="0"/>
          <w:numId w:val="1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determinar la exposición neta en dólares de los Estados Unidos de Norteamérica, se multiplicará la posición neta en dólares por la Tasa de Cambio Representativa del Mercado (TCRM) calculada en la fecha de la evaluación.</w:t>
      </w:r>
    </w:p>
    <w:p w14:paraId="36086FC2" w14:textId="77777777" w:rsidR="00DF2B76" w:rsidRPr="00B327EB" w:rsidRDefault="00DF2B76" w:rsidP="003806E8">
      <w:pPr>
        <w:pStyle w:val="Prrafodelista"/>
        <w:spacing w:after="0" w:line="240" w:lineRule="auto"/>
        <w:ind w:left="284" w:hanging="284"/>
        <w:jc w:val="both"/>
        <w:rPr>
          <w:rFonts w:ascii="Arial" w:eastAsia="Times New Roman" w:hAnsi="Arial" w:cs="Arial"/>
          <w:sz w:val="18"/>
          <w:szCs w:val="18"/>
          <w:lang w:val="es-ES" w:eastAsia="es-ES"/>
        </w:rPr>
      </w:pPr>
    </w:p>
    <w:p w14:paraId="7CB438A5" w14:textId="070283D3" w:rsidR="00AB2DEF" w:rsidRPr="00B327EB" w:rsidRDefault="00AB2DEF" w:rsidP="003806E8">
      <w:pPr>
        <w:pStyle w:val="Prrafodelista"/>
        <w:numPr>
          <w:ilvl w:val="0"/>
          <w:numId w:val="1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monedas distintas al dólar de los Estados Unidos de Norteamérica, se debe convertir previamente las exposiciones a dólares de los Estados Unidos de Norteamérica con base en las tasas de conversión de divisas publicadas para el día del cálculo en la página Web del Banco Central Europeo (BCE), con </w:t>
      </w:r>
      <w:r w:rsidR="00903E18" w:rsidRPr="00B327EB">
        <w:rPr>
          <w:rFonts w:ascii="Arial" w:eastAsia="Times New Roman" w:hAnsi="Arial" w:cs="Arial"/>
          <w:sz w:val="18"/>
          <w:szCs w:val="18"/>
          <w:lang w:val="es-ES" w:eastAsia="es-ES"/>
        </w:rPr>
        <w:t>6</w:t>
      </w:r>
      <w:r w:rsidRPr="00B327EB">
        <w:rPr>
          <w:rFonts w:ascii="Arial" w:eastAsia="Times New Roman" w:hAnsi="Arial" w:cs="Arial"/>
          <w:sz w:val="18"/>
          <w:szCs w:val="18"/>
          <w:lang w:val="es-ES" w:eastAsia="es-ES"/>
        </w:rPr>
        <w:t xml:space="preserve"> decimales aproximando el último por el sistema de redondeo (inciso segundo, literal b del </w:t>
      </w:r>
      <w:r w:rsidR="00054438" w:rsidRPr="00B327EB">
        <w:rPr>
          <w:rFonts w:ascii="Arial" w:eastAsia="Times New Roman" w:hAnsi="Arial" w:cs="Arial"/>
          <w:sz w:val="18"/>
          <w:szCs w:val="18"/>
          <w:lang w:val="es-ES" w:eastAsia="es-ES"/>
        </w:rPr>
        <w:t>sub</w:t>
      </w:r>
      <w:r w:rsidRPr="00B327EB">
        <w:rPr>
          <w:rFonts w:ascii="Arial" w:eastAsia="Times New Roman" w:hAnsi="Arial" w:cs="Arial"/>
          <w:sz w:val="18"/>
          <w:szCs w:val="18"/>
          <w:lang w:val="es-ES" w:eastAsia="es-ES"/>
        </w:rPr>
        <w:t xml:space="preserve">numeral 6.1.3 del Capítulo I-1 de la </w:t>
      </w:r>
      <w:r w:rsidR="00144E92" w:rsidRPr="00B327EB">
        <w:rPr>
          <w:rFonts w:ascii="Arial" w:eastAsia="Times New Roman" w:hAnsi="Arial" w:cs="Arial"/>
          <w:sz w:val="18"/>
          <w:szCs w:val="18"/>
          <w:lang w:val="es-ES" w:eastAsia="es-ES"/>
        </w:rPr>
        <w:t>CBCF</w:t>
      </w:r>
      <w:r w:rsidRPr="00B327EB">
        <w:rPr>
          <w:rFonts w:ascii="Arial" w:eastAsia="Times New Roman" w:hAnsi="Arial" w:cs="Arial"/>
          <w:sz w:val="18"/>
          <w:szCs w:val="18"/>
          <w:lang w:val="es-ES" w:eastAsia="es-ES"/>
        </w:rPr>
        <w:t>).</w:t>
      </w:r>
    </w:p>
    <w:p w14:paraId="7CDFDD68" w14:textId="77777777" w:rsidR="00354640" w:rsidRPr="00B327EB" w:rsidRDefault="00354640" w:rsidP="00354640">
      <w:pPr>
        <w:pStyle w:val="Prrafodelista"/>
        <w:spacing w:after="0" w:line="240" w:lineRule="auto"/>
        <w:ind w:left="0"/>
        <w:jc w:val="both"/>
        <w:rPr>
          <w:rFonts w:ascii="Arial" w:eastAsia="Times New Roman" w:hAnsi="Arial" w:cs="Arial"/>
          <w:sz w:val="18"/>
          <w:szCs w:val="18"/>
          <w:lang w:val="es-ES" w:eastAsia="es-ES"/>
        </w:rPr>
      </w:pPr>
    </w:p>
    <w:p w14:paraId="28EE039C"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el cálculo de la exposición al riesgo de tasa de cambio, las entidades vigiladas deben calcular la sensibilidad neta en cada moneda como el producto de la posición neta y el factor de sensibilidad correspondiente definido en la Tabla 2. Esta sensibilidad tendrá un valor positivo cuando la posición neta en una moneda sea larga y negativo cuando la posición neta sea corta.</w:t>
      </w:r>
    </w:p>
    <w:p w14:paraId="3CB464B4"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2FBE93E" w14:textId="77777777" w:rsidR="008913AF" w:rsidRPr="00B327EB" w:rsidRDefault="008913AF" w:rsidP="00354640">
      <w:pPr>
        <w:pStyle w:val="Textoindependiente"/>
        <w:rPr>
          <w:spacing w:val="0"/>
          <w:sz w:val="18"/>
          <w:szCs w:val="20"/>
        </w:rPr>
      </w:pPr>
      <w:r w:rsidRPr="00B327EB">
        <w:rPr>
          <w:spacing w:val="0"/>
          <w:sz w:val="18"/>
          <w:szCs w:val="20"/>
        </w:rPr>
        <w:t>Para los casos en donde la entidad vigilada tenga inversiones en subordinadas del exterior, se debe emplear el factor de sensibilidad definido en la Tabla 2, correspondiente a la moneda de cada país en donde se encuentre domiciliada la respectiva subordinada.</w:t>
      </w:r>
    </w:p>
    <w:p w14:paraId="34C5AC89" w14:textId="77777777" w:rsidR="008913AF" w:rsidRPr="00B327EB" w:rsidRDefault="008913AF" w:rsidP="00354640">
      <w:pPr>
        <w:pStyle w:val="Textoindependiente"/>
        <w:rPr>
          <w:spacing w:val="0"/>
          <w:sz w:val="18"/>
          <w:szCs w:val="20"/>
        </w:rPr>
      </w:pPr>
    </w:p>
    <w:p w14:paraId="4E0D4047" w14:textId="252FC5D8" w:rsidR="00AB2DEF" w:rsidRPr="00B327EB" w:rsidRDefault="00AB2DEF" w:rsidP="00354640">
      <w:pPr>
        <w:pStyle w:val="Textoindependiente"/>
        <w:rPr>
          <w:spacing w:val="0"/>
          <w:sz w:val="18"/>
          <w:szCs w:val="20"/>
        </w:rPr>
      </w:pPr>
      <w:r w:rsidRPr="00B327EB">
        <w:rPr>
          <w:spacing w:val="0"/>
          <w:sz w:val="18"/>
          <w:szCs w:val="20"/>
        </w:rPr>
        <w:t>La exposición al riesgo de tasa de cambio se calcula entonces como la suma de los siguientes componentes:</w:t>
      </w:r>
    </w:p>
    <w:p w14:paraId="10F49449" w14:textId="77777777" w:rsidR="008913AF" w:rsidRPr="00B327EB" w:rsidRDefault="008913AF" w:rsidP="00354640">
      <w:pPr>
        <w:pStyle w:val="Textoindependiente"/>
        <w:rPr>
          <w:spacing w:val="0"/>
          <w:sz w:val="18"/>
          <w:szCs w:val="20"/>
        </w:rPr>
      </w:pPr>
    </w:p>
    <w:p w14:paraId="69EA50A1" w14:textId="09A851BE" w:rsidR="00330A40" w:rsidRPr="00B327EB" w:rsidRDefault="00AB2DEF" w:rsidP="007B04AC">
      <w:pPr>
        <w:pStyle w:val="Prrafodelista"/>
        <w:numPr>
          <w:ilvl w:val="0"/>
          <w:numId w:val="27"/>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mayor valor entre la suma de las sensibilidades netas positivas y el valor absoluto de la suma de las sensibilidades netas negativas.</w:t>
      </w:r>
    </w:p>
    <w:p w14:paraId="51E91B8D" w14:textId="77777777" w:rsidR="00354640" w:rsidRPr="00B327EB" w:rsidRDefault="00354640" w:rsidP="007B04AC">
      <w:pPr>
        <w:spacing w:after="0" w:line="240" w:lineRule="auto"/>
        <w:ind w:left="284" w:hanging="284"/>
        <w:jc w:val="both"/>
        <w:rPr>
          <w:rFonts w:ascii="Arial" w:eastAsia="Times New Roman" w:hAnsi="Arial" w:cs="Arial"/>
          <w:sz w:val="18"/>
          <w:szCs w:val="18"/>
          <w:lang w:val="es-ES" w:eastAsia="es-ES"/>
        </w:rPr>
      </w:pPr>
    </w:p>
    <w:p w14:paraId="3FF120E1" w14:textId="010E3917" w:rsidR="00AB2DEF" w:rsidRPr="00B327EB" w:rsidRDefault="00AB2DEF" w:rsidP="007B04AC">
      <w:pPr>
        <w:pStyle w:val="Prrafodelista"/>
        <w:numPr>
          <w:ilvl w:val="0"/>
          <w:numId w:val="27"/>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las entidades elegibles para la aproximación simplificada de tratamiento de opciones descrita en </w:t>
      </w:r>
      <w:r w:rsidR="00E33B70" w:rsidRPr="00B327EB">
        <w:rPr>
          <w:rFonts w:ascii="Arial" w:eastAsia="Times New Roman" w:hAnsi="Arial" w:cs="Arial"/>
          <w:sz w:val="18"/>
          <w:szCs w:val="18"/>
          <w:lang w:val="es-ES" w:eastAsia="es-ES"/>
        </w:rPr>
        <w:t xml:space="preserve">subnumeral </w:t>
      </w:r>
      <w:r w:rsidR="0083206C" w:rsidRPr="00B327EB">
        <w:rPr>
          <w:rFonts w:ascii="Arial" w:eastAsia="Times New Roman" w:hAnsi="Arial" w:cs="Arial"/>
          <w:sz w:val="18"/>
          <w:szCs w:val="18"/>
          <w:lang w:val="es-ES" w:eastAsia="es-ES"/>
        </w:rPr>
        <w:t>2.6.1</w:t>
      </w:r>
      <w:r w:rsidRPr="00B327EB">
        <w:rPr>
          <w:rFonts w:ascii="Arial" w:eastAsia="Times New Roman" w:hAnsi="Arial" w:cs="Arial"/>
          <w:sz w:val="18"/>
          <w:szCs w:val="18"/>
          <w:lang w:val="es-ES" w:eastAsia="es-ES"/>
        </w:rPr>
        <w:t xml:space="preserve"> del presente anexo, la exposición resultante de las posiciones en opciones sobre monedas, o</w:t>
      </w:r>
    </w:p>
    <w:p w14:paraId="0E3469C8" w14:textId="77777777" w:rsidR="00354640" w:rsidRPr="00B327EB" w:rsidRDefault="00354640" w:rsidP="007B04AC">
      <w:pPr>
        <w:pStyle w:val="Prrafodelista"/>
        <w:spacing w:after="0" w:line="240" w:lineRule="auto"/>
        <w:ind w:left="284" w:hanging="284"/>
        <w:jc w:val="both"/>
        <w:rPr>
          <w:rFonts w:ascii="Arial" w:eastAsia="Times New Roman" w:hAnsi="Arial" w:cs="Arial"/>
          <w:sz w:val="18"/>
          <w:szCs w:val="18"/>
          <w:lang w:val="es-ES" w:eastAsia="es-ES"/>
        </w:rPr>
      </w:pPr>
    </w:p>
    <w:p w14:paraId="20871C9A" w14:textId="526D431E" w:rsidR="00AB2DEF" w:rsidRPr="00B327EB" w:rsidRDefault="00AB2DEF" w:rsidP="007B04AC">
      <w:pPr>
        <w:pStyle w:val="Prrafodelista"/>
        <w:numPr>
          <w:ilvl w:val="0"/>
          <w:numId w:val="27"/>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las entidades que deban aplicar la metodología intermedia descrita en el </w:t>
      </w:r>
      <w:r w:rsidR="00E33B70" w:rsidRPr="00B327EB">
        <w:rPr>
          <w:rFonts w:ascii="Arial" w:eastAsia="Times New Roman" w:hAnsi="Arial" w:cs="Arial"/>
          <w:sz w:val="18"/>
          <w:szCs w:val="18"/>
          <w:lang w:val="es-ES" w:eastAsia="es-ES"/>
        </w:rPr>
        <w:t>sub</w:t>
      </w:r>
      <w:r w:rsidRPr="00B327EB">
        <w:rPr>
          <w:rFonts w:ascii="Arial" w:eastAsia="Times New Roman" w:hAnsi="Arial" w:cs="Arial"/>
          <w:sz w:val="18"/>
          <w:szCs w:val="18"/>
          <w:lang w:val="es-ES" w:eastAsia="es-ES"/>
        </w:rPr>
        <w:t xml:space="preserve">numeral </w:t>
      </w:r>
      <w:r w:rsidR="0083206C" w:rsidRPr="00B327EB">
        <w:rPr>
          <w:rFonts w:ascii="Arial" w:eastAsia="Times New Roman" w:hAnsi="Arial" w:cs="Arial"/>
          <w:sz w:val="18"/>
          <w:szCs w:val="18"/>
          <w:lang w:val="es-ES" w:eastAsia="es-ES"/>
        </w:rPr>
        <w:t>2.6.2</w:t>
      </w:r>
      <w:r w:rsidRPr="00B327EB">
        <w:rPr>
          <w:rFonts w:ascii="Arial" w:eastAsia="Times New Roman" w:hAnsi="Arial" w:cs="Arial"/>
          <w:sz w:val="18"/>
          <w:szCs w:val="18"/>
          <w:lang w:val="es-ES" w:eastAsia="es-ES"/>
        </w:rPr>
        <w:t xml:space="preserve"> del presente anexo, los cargos correspondientes a los riesgos Gamma y Vega de dichas opciones.</w:t>
      </w:r>
    </w:p>
    <w:p w14:paraId="01C8345E" w14:textId="77777777" w:rsidR="00354640" w:rsidRPr="00B327EB" w:rsidRDefault="00354640" w:rsidP="00354640">
      <w:pPr>
        <w:spacing w:after="0" w:line="240" w:lineRule="auto"/>
        <w:jc w:val="both"/>
        <w:rPr>
          <w:rFonts w:ascii="Arial" w:eastAsia="Times New Roman" w:hAnsi="Arial" w:cs="Arial"/>
          <w:b/>
          <w:sz w:val="18"/>
          <w:szCs w:val="18"/>
          <w:lang w:val="es-ES" w:eastAsia="es-ES"/>
        </w:rPr>
      </w:pPr>
    </w:p>
    <w:p w14:paraId="7A60F0A5" w14:textId="069D990D"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Riesgo de precio de acciones</w:t>
      </w:r>
    </w:p>
    <w:p w14:paraId="6F6FD79B" w14:textId="77777777" w:rsidR="00354640" w:rsidRPr="00B327EB" w:rsidRDefault="00354640" w:rsidP="00354640">
      <w:pPr>
        <w:spacing w:after="0" w:line="240" w:lineRule="auto"/>
        <w:jc w:val="both"/>
        <w:rPr>
          <w:rFonts w:ascii="Arial" w:eastAsia="Times New Roman" w:hAnsi="Arial" w:cs="Arial"/>
          <w:b/>
          <w:sz w:val="18"/>
          <w:szCs w:val="18"/>
          <w:lang w:val="es-ES" w:eastAsia="es-ES"/>
        </w:rPr>
      </w:pPr>
    </w:p>
    <w:p w14:paraId="73FCECB0"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Esta sección muestra la metodología para calcular los riesgos asociados a tomar o mantener posiciones en acciones en el libro de tesorería.</w:t>
      </w:r>
    </w:p>
    <w:p w14:paraId="4F53ECA6"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9111ACA"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efectos de lo estipulado en el presente numeral deben tenerse en cuenta:</w:t>
      </w:r>
    </w:p>
    <w:p w14:paraId="659CC2ED"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4D06FE5" w14:textId="691C240F" w:rsidR="00330A40" w:rsidRPr="00B327EB" w:rsidRDefault="00AB2DEF" w:rsidP="007B04AC">
      <w:pPr>
        <w:pStyle w:val="Prrafodelista"/>
        <w:numPr>
          <w:ilvl w:val="0"/>
          <w:numId w:val="2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inversiones en títulos participativos del libro de tesorería, incluyendo las inversiones en acciones emitidas en el exterior y listadas en Colombia.</w:t>
      </w:r>
    </w:p>
    <w:p w14:paraId="700C083D" w14:textId="77777777" w:rsidR="00354640" w:rsidRPr="00B327EB" w:rsidRDefault="00354640" w:rsidP="007B04AC">
      <w:pPr>
        <w:spacing w:after="0" w:line="240" w:lineRule="auto"/>
        <w:ind w:left="284" w:hanging="284"/>
        <w:jc w:val="both"/>
        <w:rPr>
          <w:rFonts w:ascii="Arial" w:eastAsia="Times New Roman" w:hAnsi="Arial" w:cs="Arial"/>
          <w:sz w:val="18"/>
          <w:szCs w:val="18"/>
          <w:lang w:val="es-ES" w:eastAsia="es-ES"/>
        </w:rPr>
      </w:pPr>
    </w:p>
    <w:p w14:paraId="47F5A6FA" w14:textId="59F0AABA" w:rsidR="00AB2DEF" w:rsidRPr="00B327EB" w:rsidRDefault="00AB2DEF" w:rsidP="007B04AC">
      <w:pPr>
        <w:pStyle w:val="Prrafodelista"/>
        <w:numPr>
          <w:ilvl w:val="0"/>
          <w:numId w:val="2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inversiones en títulos participativos de baja o mínima bursatilidad computan por su valor neto de provisiones ajustado por el 50% de sus valorizaciones y/o el 100% de sus desvalorizaciones, según corresponda.</w:t>
      </w:r>
    </w:p>
    <w:p w14:paraId="0BC760EB" w14:textId="77777777" w:rsidR="00354640" w:rsidRPr="00B327EB" w:rsidRDefault="00354640" w:rsidP="007B04AC">
      <w:pPr>
        <w:pStyle w:val="Prrafodelista"/>
        <w:spacing w:after="0" w:line="240" w:lineRule="auto"/>
        <w:ind w:left="284" w:hanging="284"/>
        <w:jc w:val="both"/>
        <w:rPr>
          <w:rFonts w:ascii="Arial" w:eastAsia="Times New Roman" w:hAnsi="Arial" w:cs="Arial"/>
          <w:sz w:val="18"/>
          <w:szCs w:val="18"/>
          <w:lang w:val="es-ES" w:eastAsia="es-ES"/>
        </w:rPr>
      </w:pPr>
    </w:p>
    <w:p w14:paraId="3613AE8C" w14:textId="2A10270D" w:rsidR="00AB2DEF" w:rsidRPr="00B327EB" w:rsidRDefault="00AB2DEF" w:rsidP="007B04AC">
      <w:pPr>
        <w:pStyle w:val="Prrafodelista"/>
        <w:numPr>
          <w:ilvl w:val="0"/>
          <w:numId w:val="2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En el mismo sentido, las inversiones disponibles para la venta en títulos participativos de alta o media </w:t>
      </w:r>
      <w:r w:rsidR="00275356" w:rsidRPr="00B327EB">
        <w:rPr>
          <w:rFonts w:ascii="Arial" w:eastAsia="Times New Roman" w:hAnsi="Arial" w:cs="Arial"/>
          <w:sz w:val="18"/>
          <w:szCs w:val="18"/>
          <w:lang w:val="es-ES" w:eastAsia="es-ES"/>
        </w:rPr>
        <w:t>bursatilidad</w:t>
      </w:r>
      <w:r w:rsidRPr="00B327EB">
        <w:rPr>
          <w:rFonts w:ascii="Arial" w:eastAsia="Times New Roman" w:hAnsi="Arial" w:cs="Arial"/>
          <w:sz w:val="18"/>
          <w:szCs w:val="18"/>
          <w:lang w:val="es-ES" w:eastAsia="es-ES"/>
        </w:rPr>
        <w:t xml:space="preserve"> computan por su valor a precios de mercado, ajustado por el 50% de las ganancias o pérdidas no realizadas asociadas a tales inversiones.</w:t>
      </w:r>
    </w:p>
    <w:p w14:paraId="27E16DD8" w14:textId="77777777" w:rsidR="00354640" w:rsidRPr="00B327EB" w:rsidRDefault="00354640" w:rsidP="007B04AC">
      <w:pPr>
        <w:pStyle w:val="Prrafodelista"/>
        <w:spacing w:after="0" w:line="240" w:lineRule="auto"/>
        <w:ind w:left="284" w:hanging="284"/>
        <w:jc w:val="both"/>
        <w:rPr>
          <w:rFonts w:ascii="Arial" w:eastAsia="Times New Roman" w:hAnsi="Arial" w:cs="Arial"/>
          <w:sz w:val="18"/>
          <w:szCs w:val="18"/>
          <w:lang w:val="es-ES" w:eastAsia="es-ES"/>
        </w:rPr>
      </w:pPr>
    </w:p>
    <w:p w14:paraId="2C1BEFA7" w14:textId="30E28CB8" w:rsidR="00AB2DEF" w:rsidRPr="00B327EB" w:rsidRDefault="00AB2DEF" w:rsidP="007B04AC">
      <w:pPr>
        <w:pStyle w:val="Prrafodelista"/>
        <w:numPr>
          <w:ilvl w:val="0"/>
          <w:numId w:val="2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inversiones no contempladas en los literales b</w:t>
      </w:r>
      <w:r w:rsidR="005929E2" w:rsidRPr="00B327EB">
        <w:rPr>
          <w:rFonts w:ascii="Arial" w:eastAsia="Times New Roman" w:hAnsi="Arial" w:cs="Arial"/>
          <w:sz w:val="18"/>
          <w:szCs w:val="18"/>
          <w:lang w:val="es-ES" w:eastAsia="es-ES"/>
        </w:rPr>
        <w:t>.</w:t>
      </w:r>
      <w:r w:rsidRPr="00B327EB">
        <w:rPr>
          <w:rFonts w:ascii="Arial" w:eastAsia="Times New Roman" w:hAnsi="Arial" w:cs="Arial"/>
          <w:sz w:val="18"/>
          <w:szCs w:val="18"/>
          <w:lang w:val="es-ES" w:eastAsia="es-ES"/>
        </w:rPr>
        <w:t xml:space="preserve"> y c</w:t>
      </w:r>
      <w:r w:rsidR="005929E2" w:rsidRPr="00B327EB">
        <w:rPr>
          <w:rFonts w:ascii="Arial" w:eastAsia="Times New Roman" w:hAnsi="Arial" w:cs="Arial"/>
          <w:sz w:val="18"/>
          <w:szCs w:val="18"/>
          <w:lang w:val="es-ES" w:eastAsia="es-ES"/>
        </w:rPr>
        <w:t>.</w:t>
      </w:r>
      <w:r w:rsidRPr="00B327EB">
        <w:rPr>
          <w:rFonts w:ascii="Arial" w:eastAsia="Times New Roman" w:hAnsi="Arial" w:cs="Arial"/>
          <w:sz w:val="18"/>
          <w:szCs w:val="18"/>
          <w:lang w:val="es-ES" w:eastAsia="es-ES"/>
        </w:rPr>
        <w:t xml:space="preserve"> computan por su valor </w:t>
      </w:r>
      <w:r w:rsidR="005929E2"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las normas de valoración aplicables según lo dispuesto por las SFC.</w:t>
      </w:r>
    </w:p>
    <w:p w14:paraId="3FA9E841" w14:textId="77777777" w:rsidR="00354640" w:rsidRPr="00B327EB" w:rsidRDefault="00354640" w:rsidP="007B04AC">
      <w:pPr>
        <w:pStyle w:val="Prrafodelista"/>
        <w:spacing w:after="0" w:line="240" w:lineRule="auto"/>
        <w:ind w:left="284" w:hanging="284"/>
        <w:jc w:val="both"/>
        <w:rPr>
          <w:rFonts w:ascii="Arial" w:eastAsia="Times New Roman" w:hAnsi="Arial" w:cs="Arial"/>
          <w:sz w:val="18"/>
          <w:szCs w:val="18"/>
          <w:lang w:val="es-ES" w:eastAsia="es-ES"/>
        </w:rPr>
      </w:pPr>
    </w:p>
    <w:p w14:paraId="46C59563" w14:textId="586B0B7D" w:rsidR="00AB2DEF" w:rsidRPr="00B327EB" w:rsidRDefault="00AB2DEF" w:rsidP="007B04AC">
      <w:pPr>
        <w:pStyle w:val="Prrafodelista"/>
        <w:numPr>
          <w:ilvl w:val="0"/>
          <w:numId w:val="2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posiciones en derivados cuyo subyacente sean acciones, tales como futuros y forwards sobre acciones individuales o índices de acciones. También deberán contemplarse las operaciones a plazo realizadas en las Bolsas de Valores.</w:t>
      </w:r>
    </w:p>
    <w:p w14:paraId="4F894C8A" w14:textId="77777777" w:rsidR="00354640" w:rsidRPr="00B327EB" w:rsidRDefault="00354640" w:rsidP="007B04AC">
      <w:pPr>
        <w:pStyle w:val="Prrafodelista"/>
        <w:spacing w:after="0" w:line="240" w:lineRule="auto"/>
        <w:ind w:left="284" w:hanging="284"/>
        <w:jc w:val="both"/>
        <w:rPr>
          <w:rFonts w:ascii="Arial" w:eastAsia="Times New Roman" w:hAnsi="Arial" w:cs="Arial"/>
          <w:sz w:val="18"/>
          <w:szCs w:val="18"/>
          <w:lang w:val="es-ES" w:eastAsia="es-ES"/>
        </w:rPr>
      </w:pPr>
    </w:p>
    <w:p w14:paraId="2500C7E4" w14:textId="5EEF54C2" w:rsidR="00AB2DEF" w:rsidRPr="00B327EB" w:rsidRDefault="00AB2DEF" w:rsidP="007B04AC">
      <w:pPr>
        <w:pStyle w:val="Prrafodelista"/>
        <w:numPr>
          <w:ilvl w:val="0"/>
          <w:numId w:val="28"/>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Adicionalmente deben ser tenidas en cuenta las posiciones delta ponderadas de las opciones sobre acciones, siempre que la metodología aplicada por las entidades sea la descrita en el numeral </w:t>
      </w:r>
      <w:r w:rsidR="0083206C" w:rsidRPr="00B327EB">
        <w:rPr>
          <w:rFonts w:ascii="Arial" w:eastAsia="Times New Roman" w:hAnsi="Arial" w:cs="Arial"/>
          <w:sz w:val="18"/>
          <w:szCs w:val="18"/>
          <w:lang w:val="es-ES" w:eastAsia="es-ES"/>
        </w:rPr>
        <w:t>2.6.2</w:t>
      </w:r>
      <w:r w:rsidRPr="00B327EB">
        <w:rPr>
          <w:rFonts w:ascii="Arial" w:eastAsia="Times New Roman" w:hAnsi="Arial" w:cs="Arial"/>
          <w:sz w:val="18"/>
          <w:szCs w:val="18"/>
          <w:lang w:val="es-ES" w:eastAsia="es-ES"/>
        </w:rPr>
        <w:t xml:space="preserve"> del presente anexo.</w:t>
      </w:r>
    </w:p>
    <w:p w14:paraId="3D306F0F" w14:textId="77777777" w:rsidR="00330A40" w:rsidRPr="00B327EB" w:rsidRDefault="00330A40" w:rsidP="00330A40">
      <w:pPr>
        <w:pStyle w:val="Prrafodelista"/>
        <w:spacing w:after="0" w:line="240" w:lineRule="auto"/>
        <w:ind w:left="0"/>
        <w:jc w:val="both"/>
        <w:rPr>
          <w:rFonts w:ascii="Arial" w:eastAsia="Times New Roman" w:hAnsi="Arial" w:cs="Arial"/>
          <w:sz w:val="18"/>
          <w:szCs w:val="18"/>
          <w:lang w:val="es-ES" w:eastAsia="es-ES"/>
        </w:rPr>
      </w:pPr>
    </w:p>
    <w:p w14:paraId="2A012FE6" w14:textId="77777777" w:rsidR="00AB2DEF" w:rsidRPr="00B327EB" w:rsidRDefault="00AB2DEF" w:rsidP="00330A40">
      <w:pPr>
        <w:pStyle w:val="Prrafodelista"/>
        <w:spacing w:after="0" w:line="240" w:lineRule="auto"/>
        <w:ind w:left="0"/>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Sin perjuicio de lo anterior, las siguientes inversiones deben excluirse del cálculo de la exposición al riesgo de cambio de precio en acciones:</w:t>
      </w:r>
    </w:p>
    <w:p w14:paraId="748C568A"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A975BA1" w14:textId="1BB7BE96" w:rsidR="00AB2DEF" w:rsidRPr="00B327EB" w:rsidRDefault="00AB2DEF" w:rsidP="00207FD3">
      <w:pPr>
        <w:pStyle w:val="Prrafodelista"/>
        <w:numPr>
          <w:ilvl w:val="0"/>
          <w:numId w:val="30"/>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lastRenderedPageBreak/>
        <w:t>Las inversiones en títulos participativos efectuadas en entidades sometidas a la inspección y vigilancia de la SFC, cuando se trate de entidades con respecto a las cuales haya lugar a consolidación.</w:t>
      </w:r>
    </w:p>
    <w:p w14:paraId="7059BA59" w14:textId="77777777" w:rsidR="00330A40" w:rsidRPr="00B327EB" w:rsidRDefault="00330A40" w:rsidP="00207FD3">
      <w:pPr>
        <w:spacing w:after="0" w:line="240" w:lineRule="auto"/>
        <w:ind w:left="284" w:hanging="284"/>
        <w:jc w:val="both"/>
        <w:rPr>
          <w:rFonts w:ascii="Arial" w:eastAsia="Times New Roman" w:hAnsi="Arial" w:cs="Arial"/>
          <w:sz w:val="18"/>
          <w:szCs w:val="18"/>
          <w:lang w:val="es-ES" w:eastAsia="es-ES"/>
        </w:rPr>
      </w:pPr>
    </w:p>
    <w:p w14:paraId="6BA2F77E" w14:textId="5BB68A4A" w:rsidR="00AB2DEF" w:rsidRPr="00B327EB" w:rsidRDefault="00AB2DEF" w:rsidP="00207FD3">
      <w:pPr>
        <w:pStyle w:val="Prrafodelista"/>
        <w:numPr>
          <w:ilvl w:val="0"/>
          <w:numId w:val="30"/>
        </w:num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Las inversiones constituidas dentro de procesos de reestructuración realizados de acuerdo con la Ley 550 de 1999 o demás normas que lo sustituyan, modifiquen o subroguen. Así mismo, no deben considerarse las acciones recibidas como dación en pago mientras permanezcan clasificadas como tales.</w:t>
      </w:r>
    </w:p>
    <w:p w14:paraId="3CEBBB98"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5FD8BF7"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2.4.1. Cálculo del riesgo de precio de acciones</w:t>
      </w:r>
    </w:p>
    <w:p w14:paraId="23EBC28C"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AEF71D9"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El cálculo de riesgo de precio de acciones busca capturar el riesgo asociado a movimientos adversos en el mercado accionario y corresponde a la suma de las posiciones netas ponderadas en cada acción. Con el fin de tener en cuenta las distintas sensibilidades de los precios de acciones particulares a movimientos en el índice del mercado, la posición neta ponderada de cada acción corresponde al producto de 2 componentes:</w:t>
      </w:r>
    </w:p>
    <w:p w14:paraId="777951A9"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EEF79FB" w14:textId="77777777" w:rsidR="00AB2DEF" w:rsidRPr="00B327EB" w:rsidRDefault="00DF2B76"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a. </w:t>
      </w:r>
      <w:r w:rsidR="00AB2DEF" w:rsidRPr="00B327EB">
        <w:rPr>
          <w:rFonts w:ascii="Arial" w:eastAsia="Times New Roman" w:hAnsi="Arial" w:cs="Arial"/>
          <w:sz w:val="18"/>
          <w:szCs w:val="18"/>
          <w:lang w:val="es-ES" w:eastAsia="es-ES"/>
        </w:rPr>
        <w:t>La posición neta en cada acción.</w:t>
      </w:r>
    </w:p>
    <w:p w14:paraId="746176EB"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24277E75" w14:textId="17F5E257" w:rsidR="00AB2DEF" w:rsidRPr="00B327EB" w:rsidRDefault="00DF2B76"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b. </w:t>
      </w:r>
      <w:r w:rsidR="00AB2DEF" w:rsidRPr="00B327EB">
        <w:rPr>
          <w:rFonts w:ascii="Arial" w:eastAsia="Times New Roman" w:hAnsi="Arial" w:cs="Arial"/>
          <w:sz w:val="18"/>
          <w:szCs w:val="18"/>
          <w:lang w:val="es-ES" w:eastAsia="es-ES"/>
        </w:rPr>
        <w:t>El factor de sensibilidad al riesgo general de acciones definido en la Tabla 2</w:t>
      </w:r>
      <w:r w:rsidR="00CE2260" w:rsidRPr="00B327EB">
        <w:rPr>
          <w:rFonts w:ascii="Arial" w:eastAsia="Times New Roman" w:hAnsi="Arial" w:cs="Arial"/>
          <w:sz w:val="18"/>
          <w:szCs w:val="18"/>
          <w:lang w:val="es-ES" w:eastAsia="es-ES"/>
        </w:rPr>
        <w:t>.</w:t>
      </w:r>
    </w:p>
    <w:p w14:paraId="4EF8E910" w14:textId="77777777" w:rsidR="00330A40" w:rsidRPr="00B327EB" w:rsidRDefault="00330A40" w:rsidP="00354640">
      <w:pPr>
        <w:spacing w:after="0" w:line="240" w:lineRule="auto"/>
        <w:jc w:val="both"/>
        <w:rPr>
          <w:rFonts w:ascii="Arial" w:eastAsia="Times New Roman" w:hAnsi="Arial" w:cs="Arial"/>
          <w:sz w:val="18"/>
          <w:szCs w:val="18"/>
          <w:lang w:val="es-ES" w:eastAsia="es-ES"/>
        </w:rPr>
      </w:pPr>
    </w:p>
    <w:p w14:paraId="1A2B140A"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Para calcular la exposición al riesgo de precio de acciones de un mercado accionario en particular, se deben sumar los valores absolutos de las posiciones netas ponderadas en acciones del respectivo mercado.</w:t>
      </w:r>
    </w:p>
    <w:p w14:paraId="006C31A3"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01AC8CB1"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los casos en que la entidad tenga posiciones en más de un mercado accionario, el componente de riesgo general debe ser calculado separadamente para cada mercado. Para mercados de acciones distintos a la Bolsa de Valores de Colombia S.A., el factor de riesgo aplicable debe ser calculado por la entidad como el percentil </w:t>
      </w:r>
      <w:r w:rsidR="00BA5377" w:rsidRPr="00B327EB">
        <w:rPr>
          <w:rFonts w:ascii="Arial" w:eastAsia="Times New Roman" w:hAnsi="Arial" w:cs="Arial"/>
          <w:sz w:val="18"/>
          <w:szCs w:val="18"/>
          <w:lang w:val="es-ES" w:eastAsia="es-ES"/>
        </w:rPr>
        <w:t>5</w:t>
      </w:r>
      <w:r w:rsidRPr="00B327EB">
        <w:rPr>
          <w:rFonts w:ascii="Arial" w:eastAsia="Times New Roman" w:hAnsi="Arial" w:cs="Arial"/>
          <w:sz w:val="18"/>
          <w:szCs w:val="18"/>
          <w:lang w:val="es-ES" w:eastAsia="es-ES"/>
        </w:rPr>
        <w:t xml:space="preserve"> de las variaciones observadas, para un horizonte de tenencia de </w:t>
      </w:r>
      <w:r w:rsidR="00BA5377" w:rsidRPr="00B327EB">
        <w:rPr>
          <w:rFonts w:ascii="Arial" w:eastAsia="Times New Roman" w:hAnsi="Arial" w:cs="Arial"/>
          <w:sz w:val="18"/>
          <w:szCs w:val="18"/>
          <w:lang w:val="es-ES" w:eastAsia="es-ES"/>
        </w:rPr>
        <w:t>20</w:t>
      </w:r>
      <w:r w:rsidRPr="00B327EB">
        <w:rPr>
          <w:rFonts w:ascii="Arial" w:eastAsia="Times New Roman" w:hAnsi="Arial" w:cs="Arial"/>
          <w:sz w:val="18"/>
          <w:szCs w:val="18"/>
          <w:lang w:val="es-ES" w:eastAsia="es-ES"/>
        </w:rPr>
        <w:t xml:space="preserve"> días hábiles de negociación, en el índice representativo de dicho mercado. Para esta estimación la entidad debe utilizar un periodo correspondiente a los últimos </w:t>
      </w:r>
      <w:r w:rsidR="00BA5377" w:rsidRPr="00B327EB">
        <w:rPr>
          <w:rFonts w:ascii="Arial" w:eastAsia="Times New Roman" w:hAnsi="Arial" w:cs="Arial"/>
          <w:sz w:val="18"/>
          <w:szCs w:val="18"/>
          <w:lang w:val="es-ES" w:eastAsia="es-ES"/>
        </w:rPr>
        <w:t>5</w:t>
      </w:r>
      <w:r w:rsidRPr="00B327EB">
        <w:rPr>
          <w:rFonts w:ascii="Arial" w:eastAsia="Times New Roman" w:hAnsi="Arial" w:cs="Arial"/>
          <w:sz w:val="18"/>
          <w:szCs w:val="18"/>
          <w:lang w:val="es-ES" w:eastAsia="es-ES"/>
        </w:rPr>
        <w:t xml:space="preserve"> años de historia, y deberá ser actualizado de forma que la última observación utilizada en el cálculo se encuentre en los </w:t>
      </w:r>
      <w:r w:rsidR="00BA5377" w:rsidRPr="00B327EB">
        <w:rPr>
          <w:rFonts w:ascii="Arial" w:eastAsia="Times New Roman" w:hAnsi="Arial" w:cs="Arial"/>
          <w:sz w:val="18"/>
          <w:szCs w:val="18"/>
          <w:lang w:val="es-ES" w:eastAsia="es-ES"/>
        </w:rPr>
        <w:t>3</w:t>
      </w:r>
      <w:r w:rsidRPr="00B327EB">
        <w:rPr>
          <w:rFonts w:ascii="Arial" w:eastAsia="Times New Roman" w:hAnsi="Arial" w:cs="Arial"/>
          <w:sz w:val="18"/>
          <w:szCs w:val="18"/>
          <w:lang w:val="es-ES" w:eastAsia="es-ES"/>
        </w:rPr>
        <w:t xml:space="preserve"> meses anteriores a la fecha del cálculo de la exposición a los riesgos de mercado a que hace referencia el presente numeral.</w:t>
      </w:r>
    </w:p>
    <w:p w14:paraId="3D559E8E"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539E1999"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efectos del presente numeral debe entenderse por mercado accionario aquel sistema de negociación de valores en el cual se negocien acciones, bien sea este nacional o extranjero.  </w:t>
      </w:r>
    </w:p>
    <w:p w14:paraId="44CA0EFB"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7348DE5E" w14:textId="77777777"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2.4.2.</w:t>
      </w:r>
      <w:r w:rsidRPr="00B327EB">
        <w:rPr>
          <w:rFonts w:ascii="Arial" w:eastAsia="Times New Roman" w:hAnsi="Arial" w:cs="Arial"/>
          <w:sz w:val="18"/>
          <w:szCs w:val="18"/>
          <w:lang w:val="es-ES" w:eastAsia="es-ES"/>
        </w:rPr>
        <w:tab/>
        <w:t>Determinación exposición total</w:t>
      </w:r>
    </w:p>
    <w:p w14:paraId="1A167BB8"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4D87C08C" w14:textId="212DBAE6" w:rsidR="00AB2DEF" w:rsidRPr="00B327EB" w:rsidRDefault="00AB2DEF" w:rsidP="00354640">
      <w:pPr>
        <w:spacing w:after="0" w:line="240" w:lineRule="auto"/>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Para el cálculo de la exposición al riesgo de precio de acciones deben sumarse los valores correspondientes al riesgo para cada mercado de acciones en que participe la entidad </w:t>
      </w:r>
      <w:r w:rsidR="00FA187B" w:rsidRPr="00B327EB">
        <w:rPr>
          <w:rFonts w:ascii="Arial" w:eastAsia="Times New Roman" w:hAnsi="Arial" w:cs="Arial"/>
          <w:sz w:val="18"/>
          <w:szCs w:val="18"/>
          <w:lang w:val="es-ES" w:eastAsia="es-ES"/>
        </w:rPr>
        <w:t>de acuerdo con</w:t>
      </w:r>
      <w:r w:rsidRPr="00B327EB">
        <w:rPr>
          <w:rFonts w:ascii="Arial" w:eastAsia="Times New Roman" w:hAnsi="Arial" w:cs="Arial"/>
          <w:sz w:val="18"/>
          <w:szCs w:val="18"/>
          <w:lang w:val="es-ES" w:eastAsia="es-ES"/>
        </w:rPr>
        <w:t xml:space="preserve"> lo estipulado en el subnumeral</w:t>
      </w:r>
      <w:r w:rsidR="00A7750E" w:rsidRPr="00B327EB">
        <w:rPr>
          <w:rFonts w:ascii="Arial" w:eastAsia="Times New Roman" w:hAnsi="Arial" w:cs="Arial"/>
          <w:sz w:val="18"/>
          <w:szCs w:val="18"/>
          <w:lang w:val="es-ES" w:eastAsia="es-ES"/>
        </w:rPr>
        <w:t xml:space="preserve"> </w:t>
      </w:r>
      <w:r w:rsidR="0083206C" w:rsidRPr="00B327EB">
        <w:rPr>
          <w:rFonts w:ascii="Arial" w:eastAsia="Times New Roman" w:hAnsi="Arial" w:cs="Arial"/>
          <w:sz w:val="18"/>
          <w:szCs w:val="18"/>
          <w:lang w:val="es-ES" w:eastAsia="es-ES"/>
        </w:rPr>
        <w:t>2.4.1</w:t>
      </w:r>
      <w:r w:rsidRPr="00B327EB">
        <w:rPr>
          <w:rFonts w:ascii="Arial" w:eastAsia="Times New Roman" w:hAnsi="Arial" w:cs="Arial"/>
          <w:sz w:val="18"/>
          <w:szCs w:val="18"/>
          <w:lang w:val="es-ES" w:eastAsia="es-ES"/>
        </w:rPr>
        <w:t xml:space="preserve"> del presente anexo. Adicionalmente deben añadirse, cuando correspondan, los siguientes </w:t>
      </w:r>
      <w:r w:rsidR="00A7750E" w:rsidRPr="00B327EB">
        <w:rPr>
          <w:rFonts w:ascii="Arial" w:eastAsia="Times New Roman" w:hAnsi="Arial" w:cs="Arial"/>
          <w:sz w:val="18"/>
          <w:szCs w:val="18"/>
          <w:lang w:val="es-ES" w:eastAsia="es-ES"/>
        </w:rPr>
        <w:t>cargos correspondientes</w:t>
      </w:r>
      <w:r w:rsidRPr="00B327EB">
        <w:rPr>
          <w:rFonts w:ascii="Arial" w:eastAsia="Times New Roman" w:hAnsi="Arial" w:cs="Arial"/>
          <w:sz w:val="18"/>
          <w:szCs w:val="18"/>
          <w:lang w:val="es-ES" w:eastAsia="es-ES"/>
        </w:rPr>
        <w:t xml:space="preserve"> a las posiciones en opciones:</w:t>
      </w:r>
    </w:p>
    <w:p w14:paraId="2719B2F8"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p w14:paraId="6BF29333" w14:textId="6C0BE965" w:rsidR="00AB2DEF" w:rsidRPr="00B327EB" w:rsidRDefault="00AB2DEF" w:rsidP="00BA6D1C">
      <w:p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a. </w:t>
      </w:r>
      <w:r w:rsidR="00BA6D1C"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 xml:space="preserve">Para las entidades elegibles para la aproximación simplificada de tratamiento de opciones descrita en </w:t>
      </w:r>
      <w:r w:rsidR="0083206C" w:rsidRPr="00B327EB">
        <w:rPr>
          <w:rFonts w:ascii="Arial" w:eastAsia="Times New Roman" w:hAnsi="Arial" w:cs="Arial"/>
          <w:sz w:val="18"/>
          <w:szCs w:val="18"/>
          <w:lang w:val="es-ES" w:eastAsia="es-ES"/>
        </w:rPr>
        <w:t>2.6.1</w:t>
      </w:r>
      <w:r w:rsidRPr="00B327EB">
        <w:rPr>
          <w:rFonts w:ascii="Arial" w:eastAsia="Times New Roman" w:hAnsi="Arial" w:cs="Arial"/>
          <w:sz w:val="18"/>
          <w:szCs w:val="18"/>
          <w:lang w:val="es-ES" w:eastAsia="es-ES"/>
        </w:rPr>
        <w:t xml:space="preserve"> del presente anexo, la exposición resultante de las posiciones en opciones sobre acciones, o</w:t>
      </w:r>
    </w:p>
    <w:p w14:paraId="601CF5BF" w14:textId="77777777" w:rsidR="00354640" w:rsidRPr="00B327EB" w:rsidRDefault="00354640" w:rsidP="00BA6D1C">
      <w:pPr>
        <w:spacing w:after="0" w:line="240" w:lineRule="auto"/>
        <w:ind w:left="284" w:hanging="284"/>
        <w:jc w:val="both"/>
        <w:rPr>
          <w:rFonts w:ascii="Arial" w:eastAsia="Times New Roman" w:hAnsi="Arial" w:cs="Arial"/>
          <w:sz w:val="18"/>
          <w:szCs w:val="18"/>
          <w:lang w:val="es-ES" w:eastAsia="es-ES"/>
        </w:rPr>
      </w:pPr>
    </w:p>
    <w:p w14:paraId="72FBBB12" w14:textId="2005A787" w:rsidR="008C0324" w:rsidRPr="00B327EB" w:rsidRDefault="00AB2DEF" w:rsidP="00BA6D1C">
      <w:pPr>
        <w:spacing w:after="0" w:line="240" w:lineRule="auto"/>
        <w:ind w:left="284" w:hanging="284"/>
        <w:jc w:val="both"/>
        <w:rPr>
          <w:rFonts w:ascii="Arial" w:eastAsia="Times New Roman" w:hAnsi="Arial" w:cs="Arial"/>
          <w:sz w:val="18"/>
          <w:szCs w:val="18"/>
          <w:lang w:val="es-ES" w:eastAsia="es-ES"/>
        </w:rPr>
      </w:pPr>
      <w:r w:rsidRPr="00B327EB">
        <w:rPr>
          <w:rFonts w:ascii="Arial" w:eastAsia="Times New Roman" w:hAnsi="Arial" w:cs="Arial"/>
          <w:sz w:val="18"/>
          <w:szCs w:val="18"/>
          <w:lang w:val="es-ES" w:eastAsia="es-ES"/>
        </w:rPr>
        <w:t xml:space="preserve">b. </w:t>
      </w:r>
      <w:r w:rsidR="00BA6D1C" w:rsidRPr="00B327EB">
        <w:rPr>
          <w:rFonts w:ascii="Arial" w:eastAsia="Times New Roman" w:hAnsi="Arial" w:cs="Arial"/>
          <w:sz w:val="18"/>
          <w:szCs w:val="18"/>
          <w:lang w:val="es-ES" w:eastAsia="es-ES"/>
        </w:rPr>
        <w:t xml:space="preserve"> </w:t>
      </w:r>
      <w:r w:rsidRPr="00B327EB">
        <w:rPr>
          <w:rFonts w:ascii="Arial" w:eastAsia="Times New Roman" w:hAnsi="Arial" w:cs="Arial"/>
          <w:sz w:val="18"/>
          <w:szCs w:val="18"/>
          <w:lang w:val="es-ES" w:eastAsia="es-ES"/>
        </w:rPr>
        <w:t>Para las entidades que deban aplicar la metodología int</w:t>
      </w:r>
      <w:r w:rsidR="00BA5377" w:rsidRPr="00B327EB">
        <w:rPr>
          <w:rFonts w:ascii="Arial" w:eastAsia="Times New Roman" w:hAnsi="Arial" w:cs="Arial"/>
          <w:sz w:val="18"/>
          <w:szCs w:val="18"/>
          <w:lang w:val="es-ES" w:eastAsia="es-ES"/>
        </w:rPr>
        <w:t xml:space="preserve">ermedia descrita en el numeral </w:t>
      </w:r>
      <w:r w:rsidR="0083206C" w:rsidRPr="00B327EB">
        <w:rPr>
          <w:rFonts w:ascii="Arial" w:eastAsia="Times New Roman" w:hAnsi="Arial" w:cs="Arial"/>
          <w:sz w:val="18"/>
          <w:szCs w:val="18"/>
          <w:lang w:val="es-ES" w:eastAsia="es-ES"/>
        </w:rPr>
        <w:t>2.6.2</w:t>
      </w:r>
      <w:r w:rsidRPr="00B327EB">
        <w:rPr>
          <w:rFonts w:ascii="Arial" w:eastAsia="Times New Roman" w:hAnsi="Arial" w:cs="Arial"/>
          <w:sz w:val="18"/>
          <w:szCs w:val="18"/>
          <w:lang w:val="es-ES" w:eastAsia="es-ES"/>
        </w:rPr>
        <w:t xml:space="preserve"> del presente anexo, los cargos correspondientes a los riesgos Gamma y Vega de dichas opciones.</w:t>
      </w:r>
    </w:p>
    <w:p w14:paraId="484BC01B" w14:textId="77777777" w:rsidR="008C0324" w:rsidRPr="00B327EB" w:rsidRDefault="008C0324" w:rsidP="00354640">
      <w:pPr>
        <w:spacing w:after="0" w:line="240" w:lineRule="auto"/>
        <w:jc w:val="both"/>
        <w:rPr>
          <w:rFonts w:ascii="Arial" w:eastAsia="Times New Roman" w:hAnsi="Arial" w:cs="Arial"/>
          <w:sz w:val="18"/>
          <w:szCs w:val="18"/>
          <w:lang w:val="es-ES" w:eastAsia="es-ES"/>
        </w:rPr>
      </w:pPr>
    </w:p>
    <w:p w14:paraId="27AE76C9" w14:textId="77777777" w:rsidR="00AB2DEF" w:rsidRPr="00B327EB" w:rsidRDefault="00AB2DEF" w:rsidP="00354640">
      <w:pPr>
        <w:spacing w:after="0" w:line="240" w:lineRule="auto"/>
        <w:jc w:val="center"/>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Tabla 2</w:t>
      </w:r>
    </w:p>
    <w:p w14:paraId="6B0FBA3C" w14:textId="77777777" w:rsidR="00AB2DEF" w:rsidRPr="00B327EB" w:rsidRDefault="00AB2DEF" w:rsidP="00354640">
      <w:pPr>
        <w:spacing w:after="0" w:line="240" w:lineRule="auto"/>
        <w:jc w:val="center"/>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Factores de Sensibilidad para el Cálculo de Riesgos de Tasa de Cambio y de Precio de Acciones</w:t>
      </w:r>
    </w:p>
    <w:p w14:paraId="640A7142" w14:textId="77777777" w:rsidR="00354640" w:rsidRPr="00B327EB" w:rsidRDefault="00354640" w:rsidP="00354640">
      <w:pPr>
        <w:spacing w:after="0" w:line="240" w:lineRule="auto"/>
        <w:jc w:val="both"/>
        <w:rPr>
          <w:rFonts w:ascii="Arial" w:eastAsia="Times New Roman" w:hAnsi="Arial" w:cs="Arial"/>
          <w:sz w:val="18"/>
          <w:szCs w:val="18"/>
          <w:lang w:val="es-ES" w:eastAsia="es-ES"/>
        </w:rPr>
      </w:pPr>
    </w:p>
    <w:tbl>
      <w:tblPr>
        <w:tblW w:w="7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00"/>
        <w:gridCol w:w="2892"/>
      </w:tblGrid>
      <w:tr w:rsidR="008913AF" w:rsidRPr="00B327EB" w14:paraId="290C0000" w14:textId="77777777" w:rsidTr="006B70C6">
        <w:trPr>
          <w:trHeight w:val="361"/>
          <w:jc w:val="center"/>
        </w:trPr>
        <w:tc>
          <w:tcPr>
            <w:tcW w:w="4900" w:type="dxa"/>
            <w:shd w:val="clear" w:color="auto" w:fill="F2F2F2" w:themeFill="background1" w:themeFillShade="F2"/>
            <w:vAlign w:val="center"/>
          </w:tcPr>
          <w:p w14:paraId="4E969801" w14:textId="2BD40C2D" w:rsidR="008913AF" w:rsidRPr="00B327EB" w:rsidRDefault="008913AF" w:rsidP="00354640">
            <w:pPr>
              <w:spacing w:after="0" w:line="240" w:lineRule="auto"/>
              <w:jc w:val="center"/>
              <w:rPr>
                <w:rFonts w:ascii="Arial" w:eastAsia="Times New Roman" w:hAnsi="Arial" w:cs="Arial"/>
                <w:b/>
                <w:snapToGrid w:val="0"/>
                <w:sz w:val="18"/>
                <w:szCs w:val="18"/>
                <w:lang w:val="es-MX" w:eastAsia="es-ES"/>
              </w:rPr>
            </w:pPr>
            <w:r w:rsidRPr="00B327EB">
              <w:rPr>
                <w:rFonts w:ascii="Arial" w:eastAsia="Times New Roman" w:hAnsi="Arial" w:cs="Arial"/>
                <w:b/>
                <w:snapToGrid w:val="0"/>
                <w:sz w:val="18"/>
                <w:szCs w:val="18"/>
                <w:lang w:val="es-MX" w:eastAsia="es-ES"/>
              </w:rPr>
              <w:t>Moneda</w:t>
            </w:r>
          </w:p>
        </w:tc>
        <w:tc>
          <w:tcPr>
            <w:tcW w:w="2892" w:type="dxa"/>
            <w:shd w:val="clear" w:color="auto" w:fill="F2F2F2" w:themeFill="background1" w:themeFillShade="F2"/>
            <w:vAlign w:val="center"/>
          </w:tcPr>
          <w:p w14:paraId="0252441F" w14:textId="77777777" w:rsidR="008913AF" w:rsidRPr="00B327EB" w:rsidRDefault="008913AF" w:rsidP="00354640">
            <w:pPr>
              <w:spacing w:after="0" w:line="240" w:lineRule="auto"/>
              <w:jc w:val="center"/>
              <w:rPr>
                <w:rFonts w:ascii="Arial" w:eastAsia="Times New Roman" w:hAnsi="Arial" w:cs="Arial"/>
                <w:b/>
                <w:snapToGrid w:val="0"/>
                <w:sz w:val="18"/>
                <w:szCs w:val="18"/>
                <w:lang w:val="es-MX" w:eastAsia="es-ES"/>
              </w:rPr>
            </w:pPr>
            <w:r w:rsidRPr="00B327EB">
              <w:rPr>
                <w:rFonts w:ascii="Arial" w:eastAsia="Times New Roman" w:hAnsi="Arial" w:cs="Arial"/>
                <w:b/>
                <w:snapToGrid w:val="0"/>
                <w:sz w:val="18"/>
                <w:szCs w:val="18"/>
                <w:lang w:val="es-MX" w:eastAsia="es-ES"/>
              </w:rPr>
              <w:t>Factor de Sensibilidad</w:t>
            </w:r>
          </w:p>
        </w:tc>
      </w:tr>
      <w:tr w:rsidR="008913AF" w:rsidRPr="00B327EB" w14:paraId="3BE9591E" w14:textId="77777777" w:rsidTr="000D3347">
        <w:trPr>
          <w:trHeight w:val="58"/>
          <w:jc w:val="center"/>
        </w:trPr>
        <w:tc>
          <w:tcPr>
            <w:tcW w:w="4900" w:type="dxa"/>
            <w:shd w:val="clear" w:color="auto" w:fill="auto"/>
            <w:noWrap/>
            <w:vAlign w:val="bottom"/>
          </w:tcPr>
          <w:p w14:paraId="4C68D652" w14:textId="77777777" w:rsidR="008913AF" w:rsidRPr="00B327EB" w:rsidRDefault="008913AF" w:rsidP="00354640">
            <w:pPr>
              <w:spacing w:after="0" w:line="240" w:lineRule="auto"/>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Dólar de Estados Unidos de Norteamérica</w:t>
            </w:r>
          </w:p>
        </w:tc>
        <w:tc>
          <w:tcPr>
            <w:tcW w:w="2892" w:type="dxa"/>
            <w:shd w:val="clear" w:color="auto" w:fill="auto"/>
            <w:noWrap/>
            <w:vAlign w:val="bottom"/>
          </w:tcPr>
          <w:p w14:paraId="6CF2DBDB" w14:textId="77777777" w:rsidR="008913AF" w:rsidRPr="00B327EB" w:rsidRDefault="008913AF" w:rsidP="00354640">
            <w:pPr>
              <w:spacing w:after="0" w:line="240" w:lineRule="auto"/>
              <w:jc w:val="center"/>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12.49%</w:t>
            </w:r>
          </w:p>
        </w:tc>
      </w:tr>
      <w:tr w:rsidR="008913AF" w:rsidRPr="00B327EB" w14:paraId="57EBEC9E" w14:textId="77777777" w:rsidTr="000D3347">
        <w:trPr>
          <w:trHeight w:val="129"/>
          <w:jc w:val="center"/>
        </w:trPr>
        <w:tc>
          <w:tcPr>
            <w:tcW w:w="4900" w:type="dxa"/>
            <w:shd w:val="clear" w:color="auto" w:fill="auto"/>
            <w:noWrap/>
            <w:vAlign w:val="bottom"/>
          </w:tcPr>
          <w:p w14:paraId="020CB7C8" w14:textId="77777777" w:rsidR="008913AF" w:rsidRPr="00B327EB" w:rsidRDefault="008913AF" w:rsidP="00354640">
            <w:pPr>
              <w:spacing w:after="0" w:line="240" w:lineRule="auto"/>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Euro</w:t>
            </w:r>
          </w:p>
        </w:tc>
        <w:tc>
          <w:tcPr>
            <w:tcW w:w="2892" w:type="dxa"/>
            <w:shd w:val="clear" w:color="auto" w:fill="auto"/>
            <w:noWrap/>
            <w:vAlign w:val="bottom"/>
          </w:tcPr>
          <w:p w14:paraId="3CF32C01" w14:textId="77777777" w:rsidR="008913AF" w:rsidRPr="00B327EB" w:rsidRDefault="008913AF" w:rsidP="00354640">
            <w:pPr>
              <w:spacing w:after="0" w:line="240" w:lineRule="auto"/>
              <w:jc w:val="center"/>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11%</w:t>
            </w:r>
          </w:p>
        </w:tc>
      </w:tr>
      <w:tr w:rsidR="008913AF" w:rsidRPr="00B327EB" w14:paraId="4A1D9AE0" w14:textId="77777777" w:rsidTr="000D3347">
        <w:trPr>
          <w:trHeight w:val="216"/>
          <w:jc w:val="center"/>
        </w:trPr>
        <w:tc>
          <w:tcPr>
            <w:tcW w:w="4900" w:type="dxa"/>
            <w:shd w:val="clear" w:color="auto" w:fill="auto"/>
            <w:noWrap/>
            <w:vAlign w:val="bottom"/>
          </w:tcPr>
          <w:p w14:paraId="10E15A78" w14:textId="77777777" w:rsidR="008913AF" w:rsidRPr="00B327EB" w:rsidRDefault="008913AF" w:rsidP="00354640">
            <w:pPr>
              <w:spacing w:after="0" w:line="240" w:lineRule="auto"/>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Otras monedas</w:t>
            </w:r>
          </w:p>
        </w:tc>
        <w:tc>
          <w:tcPr>
            <w:tcW w:w="2892" w:type="dxa"/>
            <w:shd w:val="clear" w:color="auto" w:fill="auto"/>
            <w:noWrap/>
            <w:vAlign w:val="bottom"/>
          </w:tcPr>
          <w:p w14:paraId="305864BE" w14:textId="77777777" w:rsidR="008913AF" w:rsidRPr="00B327EB" w:rsidRDefault="008913AF" w:rsidP="00354640">
            <w:pPr>
              <w:spacing w:after="0" w:line="240" w:lineRule="auto"/>
              <w:jc w:val="center"/>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13.02%</w:t>
            </w:r>
          </w:p>
        </w:tc>
      </w:tr>
      <w:tr w:rsidR="003318B3" w:rsidRPr="00B327EB" w14:paraId="55AC845A" w14:textId="77777777" w:rsidTr="000D3347">
        <w:trPr>
          <w:trHeight w:val="216"/>
          <w:jc w:val="center"/>
        </w:trPr>
        <w:tc>
          <w:tcPr>
            <w:tcW w:w="4900" w:type="dxa"/>
            <w:shd w:val="clear" w:color="auto" w:fill="auto"/>
            <w:noWrap/>
            <w:vAlign w:val="bottom"/>
          </w:tcPr>
          <w:p w14:paraId="4746E925" w14:textId="71208F4D" w:rsidR="003318B3" w:rsidRPr="00B327EB" w:rsidRDefault="00FF3021" w:rsidP="00354640">
            <w:pPr>
              <w:spacing w:after="0" w:line="240" w:lineRule="auto"/>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Riesgo general precio de acciones</w:t>
            </w:r>
          </w:p>
        </w:tc>
        <w:tc>
          <w:tcPr>
            <w:tcW w:w="2892" w:type="dxa"/>
            <w:shd w:val="clear" w:color="auto" w:fill="auto"/>
            <w:noWrap/>
            <w:vAlign w:val="bottom"/>
          </w:tcPr>
          <w:p w14:paraId="066B190C" w14:textId="5137BF57" w:rsidR="003318B3" w:rsidRPr="00B327EB" w:rsidRDefault="0047212C" w:rsidP="00354640">
            <w:pPr>
              <w:spacing w:after="0" w:line="240" w:lineRule="auto"/>
              <w:jc w:val="center"/>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9.1.%</w:t>
            </w:r>
          </w:p>
        </w:tc>
      </w:tr>
    </w:tbl>
    <w:p w14:paraId="64AC139F" w14:textId="77777777" w:rsidR="008913AF" w:rsidRPr="00B327EB" w:rsidRDefault="008913AF" w:rsidP="00D14B57">
      <w:pPr>
        <w:spacing w:after="0" w:line="240" w:lineRule="auto"/>
        <w:jc w:val="both"/>
        <w:rPr>
          <w:rFonts w:ascii="Arial" w:eastAsia="Times New Roman" w:hAnsi="Arial" w:cs="Arial"/>
          <w:snapToGrid w:val="0"/>
          <w:sz w:val="18"/>
          <w:szCs w:val="18"/>
          <w:lang w:val="es-MX" w:eastAsia="es-ES"/>
        </w:rPr>
      </w:pPr>
    </w:p>
    <w:p w14:paraId="098957BC"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Los factores consignados en la Tabla 2 serán revisados por la SFC y podrán ser modificados si ésta considera que los niveles establecidos no reflejan apropiadamente la sensibilidad de las posiciones expuestas a los riesgos allí contemplados.</w:t>
      </w:r>
    </w:p>
    <w:p w14:paraId="74F78AE1"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5797D3CC" w14:textId="42DF721F"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 xml:space="preserve">Riesgo en inversiones realizadas en </w:t>
      </w:r>
      <w:r w:rsidR="00144E92" w:rsidRPr="00B327EB">
        <w:rPr>
          <w:rFonts w:ascii="Arial" w:eastAsia="Times New Roman" w:hAnsi="Arial" w:cs="Arial"/>
          <w:b/>
          <w:sz w:val="18"/>
          <w:szCs w:val="18"/>
          <w:lang w:val="es-ES" w:eastAsia="es-ES"/>
        </w:rPr>
        <w:t>FICs</w:t>
      </w:r>
    </w:p>
    <w:p w14:paraId="76A50EE6"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35398CEF" w14:textId="4D374FB8"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Para las inversiones en </w:t>
      </w:r>
      <w:r w:rsidR="00144E92" w:rsidRPr="00B327EB">
        <w:rPr>
          <w:rFonts w:ascii="Arial" w:eastAsia="Times New Roman" w:hAnsi="Arial" w:cs="Arial"/>
          <w:snapToGrid w:val="0"/>
          <w:sz w:val="18"/>
          <w:szCs w:val="18"/>
          <w:lang w:val="es-MX" w:eastAsia="es-ES"/>
        </w:rPr>
        <w:t>FICs</w:t>
      </w:r>
      <w:r w:rsidRPr="00B327EB">
        <w:rPr>
          <w:rFonts w:ascii="Arial" w:eastAsia="Times New Roman" w:hAnsi="Arial" w:cs="Arial"/>
          <w:snapToGrid w:val="0"/>
          <w:sz w:val="18"/>
          <w:szCs w:val="18"/>
          <w:lang w:val="es-MX" w:eastAsia="es-ES"/>
        </w:rPr>
        <w:t xml:space="preserve">, es decir, para fondos comunes de inversión, fondos de valores y fondos de inversión la exposición a riesgos de mercado de las entidades es calculada como el producto entre el factor de riesgo aplicable a dicho fondo y la posición invertida en </w:t>
      </w:r>
      <w:r w:rsidR="0098350F" w:rsidRPr="00B327EB">
        <w:rPr>
          <w:rFonts w:ascii="Arial" w:eastAsia="Times New Roman" w:hAnsi="Arial" w:cs="Arial"/>
          <w:snapToGrid w:val="0"/>
          <w:sz w:val="18"/>
          <w:szCs w:val="18"/>
          <w:lang w:val="es-MX" w:eastAsia="es-ES"/>
        </w:rPr>
        <w:t>él</w:t>
      </w:r>
      <w:r w:rsidRPr="00B327EB">
        <w:rPr>
          <w:rFonts w:ascii="Arial" w:eastAsia="Times New Roman" w:hAnsi="Arial" w:cs="Arial"/>
          <w:snapToGrid w:val="0"/>
          <w:sz w:val="18"/>
          <w:szCs w:val="18"/>
          <w:lang w:val="es-MX" w:eastAsia="es-ES"/>
        </w:rPr>
        <w:t>. El factor de riesgo aplicable corresponde a:</w:t>
      </w:r>
    </w:p>
    <w:p w14:paraId="7BE07E91"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6E648765" w14:textId="32DA8F25" w:rsidR="00AB2DEF" w:rsidRPr="00B327EB" w:rsidRDefault="00AB2DEF" w:rsidP="00BA6D1C">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a. Cuando la sociedad administradora </w:t>
      </w:r>
      <w:r w:rsidR="00A03074" w:rsidRPr="00B327EB">
        <w:rPr>
          <w:rFonts w:ascii="Arial" w:eastAsia="Times New Roman" w:hAnsi="Arial" w:cs="Arial"/>
          <w:snapToGrid w:val="0"/>
          <w:sz w:val="18"/>
          <w:szCs w:val="18"/>
          <w:lang w:val="es-MX" w:eastAsia="es-ES"/>
        </w:rPr>
        <w:t>del FICs</w:t>
      </w:r>
      <w:r w:rsidRPr="00B327EB">
        <w:rPr>
          <w:rFonts w:ascii="Arial" w:eastAsia="Times New Roman" w:hAnsi="Arial" w:cs="Arial"/>
          <w:snapToGrid w:val="0"/>
          <w:sz w:val="18"/>
          <w:szCs w:val="18"/>
          <w:lang w:val="es-MX" w:eastAsia="es-ES"/>
        </w:rPr>
        <w:t xml:space="preserve"> reporte a la entidad adherente o suscriptora la composición del portafolio de inversión de la misma, la exposición a riesgos de mercado deberá ser calculada por la entidad adherente de acuerdo a las disposic</w:t>
      </w:r>
      <w:r w:rsidR="00903E18" w:rsidRPr="00B327EB">
        <w:rPr>
          <w:rFonts w:ascii="Arial" w:eastAsia="Times New Roman" w:hAnsi="Arial" w:cs="Arial"/>
          <w:snapToGrid w:val="0"/>
          <w:sz w:val="18"/>
          <w:szCs w:val="18"/>
          <w:lang w:val="es-MX" w:eastAsia="es-ES"/>
        </w:rPr>
        <w:t>iones impartidas en el numeral 2</w:t>
      </w:r>
      <w:r w:rsidR="00A03074" w:rsidRPr="00B327EB">
        <w:rPr>
          <w:rFonts w:ascii="Arial" w:eastAsia="Times New Roman" w:hAnsi="Arial" w:cs="Arial"/>
          <w:snapToGrid w:val="0"/>
          <w:sz w:val="18"/>
          <w:szCs w:val="18"/>
          <w:lang w:val="es-MX" w:eastAsia="es-ES"/>
        </w:rPr>
        <w:t xml:space="preserve"> </w:t>
      </w:r>
      <w:r w:rsidRPr="00B327EB">
        <w:rPr>
          <w:rFonts w:ascii="Arial" w:eastAsia="Times New Roman" w:hAnsi="Arial" w:cs="Arial"/>
          <w:snapToGrid w:val="0"/>
          <w:sz w:val="18"/>
          <w:szCs w:val="18"/>
          <w:lang w:val="es-MX" w:eastAsia="es-ES"/>
        </w:rPr>
        <w:t xml:space="preserve">del presente anexo. </w:t>
      </w:r>
    </w:p>
    <w:p w14:paraId="7E84B8C8" w14:textId="77777777" w:rsidR="00AB2DEF" w:rsidRPr="00B327EB" w:rsidRDefault="00AB2DEF" w:rsidP="00BA6D1C">
      <w:pPr>
        <w:spacing w:after="0" w:line="240" w:lineRule="auto"/>
        <w:ind w:left="284" w:hanging="284"/>
        <w:jc w:val="both"/>
        <w:rPr>
          <w:rFonts w:ascii="Arial" w:eastAsia="Times New Roman" w:hAnsi="Arial" w:cs="Arial"/>
          <w:snapToGrid w:val="0"/>
          <w:sz w:val="18"/>
          <w:szCs w:val="18"/>
          <w:lang w:val="es-MX" w:eastAsia="es-ES"/>
        </w:rPr>
      </w:pPr>
    </w:p>
    <w:p w14:paraId="3CB696D7" w14:textId="1F5ABEDD" w:rsidR="00AB2DEF" w:rsidRPr="00B327EB" w:rsidRDefault="00AB2DEF" w:rsidP="008B0E60">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El factor de riesgo del </w:t>
      </w:r>
      <w:r w:rsidR="00A03074" w:rsidRPr="00B327EB">
        <w:rPr>
          <w:rFonts w:ascii="Arial" w:eastAsia="Times New Roman" w:hAnsi="Arial" w:cs="Arial"/>
          <w:snapToGrid w:val="0"/>
          <w:sz w:val="18"/>
          <w:szCs w:val="18"/>
          <w:lang w:val="es-MX" w:eastAsia="es-ES"/>
        </w:rPr>
        <w:t>FiCs</w:t>
      </w:r>
      <w:r w:rsidRPr="00B327EB">
        <w:rPr>
          <w:rFonts w:ascii="Arial" w:eastAsia="Times New Roman" w:hAnsi="Arial" w:cs="Arial"/>
          <w:snapToGrid w:val="0"/>
          <w:sz w:val="18"/>
          <w:szCs w:val="18"/>
          <w:lang w:val="es-MX" w:eastAsia="es-ES"/>
        </w:rPr>
        <w:t xml:space="preserve"> corresponde a la razón entre esta exposición y el valor del portafolio en la correspondiente fecha de cálculo. Sin perjuicio de lo anterior, este factor de riesgo puede ser utilizado para el cálculo de la exposición a riesgos de mercado de la e</w:t>
      </w:r>
      <w:r w:rsidR="00903E18" w:rsidRPr="00B327EB">
        <w:rPr>
          <w:rFonts w:ascii="Arial" w:eastAsia="Times New Roman" w:hAnsi="Arial" w:cs="Arial"/>
          <w:snapToGrid w:val="0"/>
          <w:sz w:val="18"/>
          <w:szCs w:val="18"/>
          <w:lang w:val="es-MX" w:eastAsia="es-ES"/>
        </w:rPr>
        <w:t xml:space="preserve">ntidad adherente o suscriptora </w:t>
      </w:r>
      <w:r w:rsidRPr="00B327EB">
        <w:rPr>
          <w:rFonts w:ascii="Arial" w:eastAsia="Times New Roman" w:hAnsi="Arial" w:cs="Arial"/>
          <w:snapToGrid w:val="0"/>
          <w:sz w:val="18"/>
          <w:szCs w:val="18"/>
          <w:lang w:val="es-MX" w:eastAsia="es-ES"/>
        </w:rPr>
        <w:t>por un periodo de hasta treinta días, contados a partir de la última fecha de cálculo;</w:t>
      </w:r>
    </w:p>
    <w:p w14:paraId="43C57D4A" w14:textId="77777777" w:rsidR="00AB2DEF" w:rsidRPr="00B327EB" w:rsidRDefault="00AB2DEF" w:rsidP="00BA6D1C">
      <w:pPr>
        <w:spacing w:after="0" w:line="240" w:lineRule="auto"/>
        <w:ind w:left="284" w:hanging="284"/>
        <w:jc w:val="both"/>
        <w:rPr>
          <w:rFonts w:ascii="Arial" w:eastAsia="Times New Roman" w:hAnsi="Arial" w:cs="Arial"/>
          <w:snapToGrid w:val="0"/>
          <w:sz w:val="18"/>
          <w:szCs w:val="18"/>
          <w:lang w:val="es-MX" w:eastAsia="es-ES"/>
        </w:rPr>
      </w:pPr>
    </w:p>
    <w:p w14:paraId="0A6448CB" w14:textId="6FF02783" w:rsidR="00AB2DEF" w:rsidRPr="00B327EB" w:rsidRDefault="00DF2B76" w:rsidP="00BA6D1C">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b. </w:t>
      </w:r>
      <w:r w:rsidR="005C2F4A" w:rsidRPr="00B327EB">
        <w:rPr>
          <w:rFonts w:ascii="Arial" w:eastAsia="Times New Roman" w:hAnsi="Arial" w:cs="Arial"/>
          <w:snapToGrid w:val="0"/>
          <w:sz w:val="18"/>
          <w:szCs w:val="18"/>
          <w:lang w:val="es-MX" w:eastAsia="es-ES"/>
        </w:rPr>
        <w:t xml:space="preserve"> </w:t>
      </w:r>
      <w:r w:rsidR="00AB2DEF" w:rsidRPr="00B327EB">
        <w:rPr>
          <w:rFonts w:ascii="Arial" w:eastAsia="Times New Roman" w:hAnsi="Arial" w:cs="Arial"/>
          <w:snapToGrid w:val="0"/>
          <w:sz w:val="18"/>
          <w:szCs w:val="18"/>
          <w:lang w:val="es-MX" w:eastAsia="es-ES"/>
        </w:rPr>
        <w:t xml:space="preserve">Cuando la sociedad administradora del </w:t>
      </w:r>
      <w:r w:rsidR="00A03074" w:rsidRPr="00B327EB">
        <w:rPr>
          <w:rFonts w:ascii="Arial" w:eastAsia="Times New Roman" w:hAnsi="Arial" w:cs="Arial"/>
          <w:snapToGrid w:val="0"/>
          <w:sz w:val="18"/>
          <w:szCs w:val="18"/>
          <w:lang w:val="es-MX" w:eastAsia="es-ES"/>
        </w:rPr>
        <w:t>FICs</w:t>
      </w:r>
      <w:r w:rsidR="00AB2DEF" w:rsidRPr="00B327EB">
        <w:rPr>
          <w:rFonts w:ascii="Arial" w:eastAsia="Times New Roman" w:hAnsi="Arial" w:cs="Arial"/>
          <w:snapToGrid w:val="0"/>
          <w:sz w:val="18"/>
          <w:szCs w:val="18"/>
          <w:lang w:val="es-MX" w:eastAsia="es-ES"/>
        </w:rPr>
        <w:t xml:space="preserve"> reporte a la entidad adherente o suscriptora la exposición a riesgos de mercado del Fondo de Inversión Colectiva, calculada </w:t>
      </w:r>
      <w:r w:rsidR="008C41DD" w:rsidRPr="00B327EB">
        <w:rPr>
          <w:rFonts w:ascii="Arial" w:eastAsia="Times New Roman" w:hAnsi="Arial" w:cs="Arial"/>
          <w:snapToGrid w:val="0"/>
          <w:sz w:val="18"/>
          <w:szCs w:val="18"/>
          <w:lang w:val="es-MX" w:eastAsia="es-ES"/>
        </w:rPr>
        <w:t>de acuerdo con</w:t>
      </w:r>
      <w:r w:rsidR="00AB2DEF" w:rsidRPr="00B327EB">
        <w:rPr>
          <w:rFonts w:ascii="Arial" w:eastAsia="Times New Roman" w:hAnsi="Arial" w:cs="Arial"/>
          <w:snapToGrid w:val="0"/>
          <w:sz w:val="18"/>
          <w:szCs w:val="18"/>
          <w:lang w:val="es-MX" w:eastAsia="es-ES"/>
        </w:rPr>
        <w:t xml:space="preserve"> las disposic</w:t>
      </w:r>
      <w:r w:rsidR="00903E18" w:rsidRPr="00B327EB">
        <w:rPr>
          <w:rFonts w:ascii="Arial" w:eastAsia="Times New Roman" w:hAnsi="Arial" w:cs="Arial"/>
          <w:snapToGrid w:val="0"/>
          <w:sz w:val="18"/>
          <w:szCs w:val="18"/>
          <w:lang w:val="es-MX" w:eastAsia="es-ES"/>
        </w:rPr>
        <w:t xml:space="preserve">iones impartidas en el numeral </w:t>
      </w:r>
      <w:r w:rsidR="00DD096B" w:rsidRPr="00B327EB">
        <w:rPr>
          <w:rFonts w:ascii="Arial" w:eastAsia="Times New Roman" w:hAnsi="Arial" w:cs="Arial"/>
          <w:snapToGrid w:val="0"/>
          <w:sz w:val="18"/>
          <w:szCs w:val="18"/>
          <w:lang w:val="es-MX" w:eastAsia="es-ES"/>
        </w:rPr>
        <w:t>2</w:t>
      </w:r>
      <w:r w:rsidR="00AB2DEF" w:rsidRPr="00B327EB">
        <w:rPr>
          <w:rFonts w:ascii="Arial" w:eastAsia="Times New Roman" w:hAnsi="Arial" w:cs="Arial"/>
          <w:snapToGrid w:val="0"/>
          <w:sz w:val="18"/>
          <w:szCs w:val="18"/>
          <w:lang w:val="es-MX" w:eastAsia="es-ES"/>
        </w:rPr>
        <w:t xml:space="preserve"> del presente </w:t>
      </w:r>
      <w:r w:rsidR="00DD096B" w:rsidRPr="00B327EB">
        <w:rPr>
          <w:rFonts w:ascii="Arial" w:eastAsia="Times New Roman" w:hAnsi="Arial" w:cs="Arial"/>
          <w:snapToGrid w:val="0"/>
          <w:sz w:val="18"/>
          <w:szCs w:val="18"/>
          <w:lang w:val="es-MX" w:eastAsia="es-ES"/>
        </w:rPr>
        <w:t>anexo</w:t>
      </w:r>
      <w:r w:rsidR="00AB2DEF" w:rsidRPr="00B327EB">
        <w:rPr>
          <w:rFonts w:ascii="Arial" w:eastAsia="Times New Roman" w:hAnsi="Arial" w:cs="Arial"/>
          <w:snapToGrid w:val="0"/>
          <w:sz w:val="18"/>
          <w:szCs w:val="18"/>
          <w:lang w:val="es-MX" w:eastAsia="es-ES"/>
        </w:rPr>
        <w:t xml:space="preserve">, el factor de riesgo de dicho Fondo corresponderá a la razón entre esta exposición y el valor del portafolio a la respectiva fecha de cálculo. Sin perjuicio de lo anterior, este factor de riesgo puede ser utilizado para el cálculo de la exposición a riesgos de mercado de la entidad adherente o suscriptora por un periodo de hasta </w:t>
      </w:r>
      <w:r w:rsidR="00903E18" w:rsidRPr="00B327EB">
        <w:rPr>
          <w:rFonts w:ascii="Arial" w:eastAsia="Times New Roman" w:hAnsi="Arial" w:cs="Arial"/>
          <w:snapToGrid w:val="0"/>
          <w:sz w:val="18"/>
          <w:szCs w:val="18"/>
          <w:lang w:val="es-MX" w:eastAsia="es-ES"/>
        </w:rPr>
        <w:t>30</w:t>
      </w:r>
      <w:r w:rsidR="00AB2DEF" w:rsidRPr="00B327EB">
        <w:rPr>
          <w:rFonts w:ascii="Arial" w:eastAsia="Times New Roman" w:hAnsi="Arial" w:cs="Arial"/>
          <w:snapToGrid w:val="0"/>
          <w:sz w:val="18"/>
          <w:szCs w:val="18"/>
          <w:lang w:val="es-MX" w:eastAsia="es-ES"/>
        </w:rPr>
        <w:t xml:space="preserve"> días, contados a partir de la última fecha de cálculo; y</w:t>
      </w:r>
    </w:p>
    <w:p w14:paraId="44493D1B" w14:textId="77777777" w:rsidR="00AB2DEF" w:rsidRPr="00B327EB" w:rsidRDefault="00AB2DEF" w:rsidP="00BA6D1C">
      <w:pPr>
        <w:spacing w:after="0" w:line="240" w:lineRule="auto"/>
        <w:ind w:left="284" w:hanging="284"/>
        <w:jc w:val="both"/>
        <w:rPr>
          <w:rFonts w:ascii="Arial" w:eastAsia="Times New Roman" w:hAnsi="Arial" w:cs="Arial"/>
          <w:snapToGrid w:val="0"/>
          <w:sz w:val="18"/>
          <w:szCs w:val="18"/>
          <w:lang w:val="es-MX" w:eastAsia="es-ES"/>
        </w:rPr>
      </w:pPr>
    </w:p>
    <w:p w14:paraId="48BA18D6" w14:textId="77777777" w:rsidR="00AB2DEF" w:rsidRPr="00B327EB" w:rsidRDefault="00AB2DEF" w:rsidP="00BA6D1C">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c. En los demás casos, el factor de riesgo aplicable es igual al establecido en la Tabla 2 para el riesgo general precio de acciones, es decir el cargo asociado a las posiciones más riesgosas contempladas en el modelo estándar (acciones). </w:t>
      </w:r>
    </w:p>
    <w:p w14:paraId="2657B664"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0DFCDC58" w14:textId="488B4F77"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Tratamiento de las posiciones en opciones</w:t>
      </w:r>
    </w:p>
    <w:p w14:paraId="389DD06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19517868"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Las entidades de las que trata el presente anexo deben seguir una de </w:t>
      </w:r>
      <w:r w:rsidR="00BA5377" w:rsidRPr="00B327EB">
        <w:rPr>
          <w:rFonts w:ascii="Arial" w:eastAsia="Times New Roman" w:hAnsi="Arial" w:cs="Arial"/>
          <w:snapToGrid w:val="0"/>
          <w:sz w:val="18"/>
          <w:szCs w:val="18"/>
          <w:lang w:val="es-MX" w:eastAsia="es-ES"/>
        </w:rPr>
        <w:t>2</w:t>
      </w:r>
      <w:r w:rsidRPr="00B327EB">
        <w:rPr>
          <w:rFonts w:ascii="Arial" w:eastAsia="Times New Roman" w:hAnsi="Arial" w:cs="Arial"/>
          <w:snapToGrid w:val="0"/>
          <w:sz w:val="18"/>
          <w:szCs w:val="18"/>
          <w:lang w:val="es-MX" w:eastAsia="es-ES"/>
        </w:rPr>
        <w:t xml:space="preserve"> aproximaciones que se describen a continuación para incorporar sus posiciones en opciones en el cálculo de los requerimientos de capital por riesgos de mercado. </w:t>
      </w:r>
    </w:p>
    <w:p w14:paraId="6584F7F5"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39296B77" w14:textId="05A10BAB"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Para los casos en que la entidad tenga registradas solamente posiciones largas en opciones, puede utilizar la aproximación simplificada descrita en el numeral </w:t>
      </w:r>
      <w:r w:rsidR="00DD096B" w:rsidRPr="00B327EB">
        <w:rPr>
          <w:rFonts w:ascii="Arial" w:eastAsia="Times New Roman" w:hAnsi="Arial" w:cs="Arial"/>
          <w:snapToGrid w:val="0"/>
          <w:sz w:val="18"/>
          <w:szCs w:val="18"/>
          <w:lang w:val="es-MX" w:eastAsia="es-ES"/>
        </w:rPr>
        <w:t>2.6.1</w:t>
      </w:r>
      <w:r w:rsidRPr="00B327EB">
        <w:rPr>
          <w:rFonts w:ascii="Arial" w:eastAsia="Times New Roman" w:hAnsi="Arial" w:cs="Arial"/>
          <w:snapToGrid w:val="0"/>
          <w:sz w:val="18"/>
          <w:szCs w:val="18"/>
          <w:lang w:val="es-MX" w:eastAsia="es-ES"/>
        </w:rPr>
        <w:t xml:space="preserve"> del presente anexo. Aquellas entidades que posean posiciones cortas en opciones deben utilizar la aproximación intermedia descrita en el </w:t>
      </w:r>
      <w:r w:rsidR="008C41DD" w:rsidRPr="00B327EB">
        <w:rPr>
          <w:rFonts w:ascii="Arial" w:eastAsia="Times New Roman" w:hAnsi="Arial" w:cs="Arial"/>
          <w:snapToGrid w:val="0"/>
          <w:sz w:val="18"/>
          <w:szCs w:val="18"/>
          <w:lang w:val="es-MX" w:eastAsia="es-ES"/>
        </w:rPr>
        <w:t>sub</w:t>
      </w:r>
      <w:r w:rsidRPr="00B327EB">
        <w:rPr>
          <w:rFonts w:ascii="Arial" w:eastAsia="Times New Roman" w:hAnsi="Arial" w:cs="Arial"/>
          <w:snapToGrid w:val="0"/>
          <w:sz w:val="18"/>
          <w:szCs w:val="18"/>
          <w:lang w:val="es-MX" w:eastAsia="es-ES"/>
        </w:rPr>
        <w:t xml:space="preserve">numeral </w:t>
      </w:r>
      <w:r w:rsidR="00DD096B" w:rsidRPr="00B327EB">
        <w:rPr>
          <w:rFonts w:ascii="Arial" w:eastAsia="Times New Roman" w:hAnsi="Arial" w:cs="Arial"/>
          <w:snapToGrid w:val="0"/>
          <w:sz w:val="18"/>
          <w:szCs w:val="18"/>
          <w:lang w:val="es-MX" w:eastAsia="es-ES"/>
        </w:rPr>
        <w:t>2.6.2</w:t>
      </w:r>
      <w:r w:rsidRPr="00B327EB">
        <w:rPr>
          <w:rFonts w:ascii="Arial" w:eastAsia="Times New Roman" w:hAnsi="Arial" w:cs="Arial"/>
          <w:snapToGrid w:val="0"/>
          <w:sz w:val="18"/>
          <w:szCs w:val="18"/>
          <w:lang w:val="es-MX" w:eastAsia="es-ES"/>
        </w:rPr>
        <w:t xml:space="preserve"> del presente anexo.</w:t>
      </w:r>
    </w:p>
    <w:p w14:paraId="050C7892"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4A7A1F54"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2.6.1.</w:t>
      </w:r>
      <w:r w:rsidRPr="00B327EB">
        <w:rPr>
          <w:rFonts w:ascii="Arial" w:eastAsia="Times New Roman" w:hAnsi="Arial" w:cs="Arial"/>
          <w:snapToGrid w:val="0"/>
          <w:sz w:val="18"/>
          <w:szCs w:val="18"/>
          <w:lang w:val="es-MX" w:eastAsia="es-ES"/>
        </w:rPr>
        <w:tab/>
        <w:t>Aproximación simplificada</w:t>
      </w:r>
    </w:p>
    <w:p w14:paraId="4A10AC63"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7CB227C1"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En la aproximación simplificada, la exposición a los riesgos de mercado corresponde a la suma de las exposiciones individuales calculadas como el menor valor entre:</w:t>
      </w:r>
    </w:p>
    <w:p w14:paraId="59AC167D"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39E7B185" w14:textId="77777777" w:rsidR="00AB2DEF" w:rsidRPr="00B327EB" w:rsidRDefault="00DF2B76" w:rsidP="006C25A4">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a. </w:t>
      </w:r>
      <w:r w:rsidR="00AB2DEF" w:rsidRPr="00B327EB">
        <w:rPr>
          <w:rFonts w:ascii="Arial" w:eastAsia="Times New Roman" w:hAnsi="Arial" w:cs="Arial"/>
          <w:snapToGrid w:val="0"/>
          <w:sz w:val="18"/>
          <w:szCs w:val="18"/>
          <w:lang w:val="es-MX" w:eastAsia="es-ES"/>
        </w:rPr>
        <w:t>El producto entre el valor razonable (“fair value”) del instrumento subyacente y el factor de sensibilidad relevante (Tablas 1 y 2).</w:t>
      </w:r>
    </w:p>
    <w:p w14:paraId="08921BAE"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683C85F3" w14:textId="106B3683" w:rsidR="00AB2DEF" w:rsidRPr="00B327EB" w:rsidRDefault="00DF2B76" w:rsidP="006C25A4">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b. </w:t>
      </w:r>
      <w:r w:rsidR="00AB2DEF" w:rsidRPr="00B327EB">
        <w:rPr>
          <w:rFonts w:ascii="Arial" w:eastAsia="Times New Roman" w:hAnsi="Arial" w:cs="Arial"/>
          <w:snapToGrid w:val="0"/>
          <w:sz w:val="18"/>
          <w:szCs w:val="18"/>
          <w:lang w:val="es-MX" w:eastAsia="es-ES"/>
        </w:rPr>
        <w:t>El valor de mercado de la opción, de acuerdo con la metodología especificada en el Capítulo XVIII</w:t>
      </w:r>
      <w:r w:rsidR="00A03074" w:rsidRPr="00B327EB">
        <w:rPr>
          <w:rFonts w:ascii="Arial" w:eastAsia="Times New Roman" w:hAnsi="Arial" w:cs="Arial"/>
          <w:snapToGrid w:val="0"/>
          <w:sz w:val="18"/>
          <w:szCs w:val="18"/>
          <w:lang w:val="es-MX" w:eastAsia="es-ES"/>
        </w:rPr>
        <w:t xml:space="preserve"> de la CBCF</w:t>
      </w:r>
      <w:r w:rsidR="00AB2DEF" w:rsidRPr="00B327EB">
        <w:rPr>
          <w:rFonts w:ascii="Arial" w:eastAsia="Times New Roman" w:hAnsi="Arial" w:cs="Arial"/>
          <w:snapToGrid w:val="0"/>
          <w:sz w:val="18"/>
          <w:szCs w:val="18"/>
          <w:lang w:val="es-MX" w:eastAsia="es-ES"/>
        </w:rPr>
        <w:t>.</w:t>
      </w:r>
    </w:p>
    <w:p w14:paraId="74EBADC4"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10762706" w14:textId="48EB9C79"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El resultado del cálculo anterior debe ser sum</w:t>
      </w:r>
      <w:r w:rsidR="00BA5377" w:rsidRPr="00B327EB">
        <w:rPr>
          <w:rFonts w:ascii="Arial" w:eastAsia="Times New Roman" w:hAnsi="Arial" w:cs="Arial"/>
          <w:snapToGrid w:val="0"/>
          <w:sz w:val="18"/>
          <w:szCs w:val="18"/>
          <w:lang w:val="es-MX" w:eastAsia="es-ES"/>
        </w:rPr>
        <w:t>ado al módulo correspondiente (</w:t>
      </w:r>
      <w:r w:rsidR="00517C67" w:rsidRPr="00B327EB">
        <w:rPr>
          <w:rFonts w:ascii="Arial" w:eastAsia="Times New Roman" w:hAnsi="Arial" w:cs="Arial"/>
          <w:snapToGrid w:val="0"/>
          <w:sz w:val="18"/>
          <w:szCs w:val="18"/>
          <w:lang w:val="es-MX" w:eastAsia="es-ES"/>
        </w:rPr>
        <w:t>2.2</w:t>
      </w:r>
      <w:r w:rsidR="00BA5377" w:rsidRPr="00B327EB">
        <w:rPr>
          <w:rFonts w:ascii="Arial" w:eastAsia="Times New Roman" w:hAnsi="Arial" w:cs="Arial"/>
          <w:snapToGrid w:val="0"/>
          <w:sz w:val="18"/>
          <w:szCs w:val="18"/>
          <w:lang w:val="es-MX" w:eastAsia="es-ES"/>
        </w:rPr>
        <w:t xml:space="preserve"> a </w:t>
      </w:r>
      <w:r w:rsidR="00517C67" w:rsidRPr="00B327EB">
        <w:rPr>
          <w:rFonts w:ascii="Arial" w:eastAsia="Times New Roman" w:hAnsi="Arial" w:cs="Arial"/>
          <w:snapToGrid w:val="0"/>
          <w:sz w:val="18"/>
          <w:szCs w:val="18"/>
          <w:lang w:val="es-MX" w:eastAsia="es-ES"/>
        </w:rPr>
        <w:t>2.5</w:t>
      </w:r>
      <w:r w:rsidRPr="00B327EB">
        <w:rPr>
          <w:rFonts w:ascii="Arial" w:eastAsia="Times New Roman" w:hAnsi="Arial" w:cs="Arial"/>
          <w:snapToGrid w:val="0"/>
          <w:sz w:val="18"/>
          <w:szCs w:val="18"/>
          <w:lang w:val="es-MX" w:eastAsia="es-ES"/>
        </w:rPr>
        <w:t xml:space="preserve"> del presente anexo).</w:t>
      </w:r>
    </w:p>
    <w:p w14:paraId="1FC3DD89"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381687C5"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2.6.2.</w:t>
      </w:r>
      <w:r w:rsidRPr="00B327EB">
        <w:rPr>
          <w:rFonts w:ascii="Arial" w:eastAsia="Times New Roman" w:hAnsi="Arial" w:cs="Arial"/>
          <w:snapToGrid w:val="0"/>
          <w:sz w:val="18"/>
          <w:szCs w:val="18"/>
          <w:lang w:val="es-MX" w:eastAsia="es-ES"/>
        </w:rPr>
        <w:tab/>
        <w:t>Aproximación intermedia</w:t>
      </w:r>
    </w:p>
    <w:p w14:paraId="5363507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24135634"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En la aproximación intermedia el cargo de capital asociado a las posiciones en opciones es calculado a partir de los factores de sensibilidad (“Griegas”) delta, gamma y vega de acuerdo a lo estipulado en los siguientes incisos:</w:t>
      </w:r>
    </w:p>
    <w:p w14:paraId="14DEC25D"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40D32979" w14:textId="77777777" w:rsidR="00AB2DEF" w:rsidRPr="00B327EB" w:rsidRDefault="00AB2DEF" w:rsidP="005C2F4A">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a. Posición delta ponderada.</w:t>
      </w:r>
    </w:p>
    <w:p w14:paraId="7FEAEFEE"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730369A8" w14:textId="24A75C7E" w:rsidR="00AB2DEF" w:rsidRPr="00B327EB" w:rsidRDefault="00AB2DEF" w:rsidP="003B479F">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Bajo </w:t>
      </w:r>
      <w:r w:rsidR="00144E92" w:rsidRPr="00B327EB">
        <w:rPr>
          <w:rFonts w:ascii="Arial" w:eastAsia="Times New Roman" w:hAnsi="Arial" w:cs="Arial"/>
          <w:snapToGrid w:val="0"/>
          <w:sz w:val="18"/>
          <w:szCs w:val="18"/>
          <w:lang w:val="es-MX" w:eastAsia="es-ES"/>
        </w:rPr>
        <w:t>esta</w:t>
      </w:r>
      <w:r w:rsidRPr="00B327EB">
        <w:rPr>
          <w:rFonts w:ascii="Arial" w:eastAsia="Times New Roman" w:hAnsi="Arial" w:cs="Arial"/>
          <w:snapToGrid w:val="0"/>
          <w:sz w:val="18"/>
          <w:szCs w:val="18"/>
          <w:lang w:val="es-MX" w:eastAsia="es-ES"/>
        </w:rPr>
        <w:t xml:space="preserve"> aproximación la posición delta ponderada de las opciones está sujeta a los requerimientos de capital descritos en los numerales </w:t>
      </w:r>
      <w:r w:rsidR="00AD0144" w:rsidRPr="00B327EB">
        <w:rPr>
          <w:rFonts w:ascii="Arial" w:eastAsia="Times New Roman" w:hAnsi="Arial" w:cs="Arial"/>
          <w:snapToGrid w:val="0"/>
          <w:sz w:val="18"/>
          <w:szCs w:val="18"/>
          <w:lang w:val="es-MX" w:eastAsia="es-ES"/>
        </w:rPr>
        <w:t xml:space="preserve">2.2 a 2.5 </w:t>
      </w:r>
      <w:r w:rsidRPr="00B327EB">
        <w:rPr>
          <w:rFonts w:ascii="Arial" w:eastAsia="Times New Roman" w:hAnsi="Arial" w:cs="Arial"/>
          <w:snapToGrid w:val="0"/>
          <w:sz w:val="18"/>
          <w:szCs w:val="18"/>
          <w:lang w:val="es-MX" w:eastAsia="es-ES"/>
        </w:rPr>
        <w:t>del presente anexo dependiendo de los cargos aplicables al subyacente de la opción.</w:t>
      </w:r>
    </w:p>
    <w:p w14:paraId="64F936F5" w14:textId="77777777" w:rsidR="00AB2DEF" w:rsidRPr="00B327EB" w:rsidRDefault="00AB2DEF" w:rsidP="006C25A4">
      <w:pPr>
        <w:spacing w:after="0" w:line="240" w:lineRule="auto"/>
        <w:ind w:left="284" w:hanging="284"/>
        <w:jc w:val="both"/>
        <w:rPr>
          <w:rFonts w:ascii="Arial" w:eastAsia="Times New Roman" w:hAnsi="Arial" w:cs="Arial"/>
          <w:b/>
          <w:snapToGrid w:val="0"/>
          <w:sz w:val="18"/>
          <w:szCs w:val="18"/>
          <w:lang w:val="es-MX" w:eastAsia="es-ES"/>
        </w:rPr>
      </w:pPr>
    </w:p>
    <w:p w14:paraId="47BE489E" w14:textId="7ADC5925"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b. Riesgo Gamma</w:t>
      </w:r>
      <w:r w:rsidR="008D5278">
        <w:rPr>
          <w:rFonts w:ascii="Arial" w:eastAsia="Times New Roman" w:hAnsi="Arial" w:cs="Arial"/>
          <w:snapToGrid w:val="0"/>
          <w:sz w:val="18"/>
          <w:szCs w:val="18"/>
          <w:lang w:val="es-MX" w:eastAsia="es-ES"/>
        </w:rPr>
        <w:t>.</w:t>
      </w:r>
    </w:p>
    <w:p w14:paraId="69F4B9A6" w14:textId="77777777" w:rsidR="00AB2DEF" w:rsidRPr="00B327EB" w:rsidRDefault="00AB2DEF" w:rsidP="006C25A4">
      <w:pPr>
        <w:spacing w:after="0" w:line="240" w:lineRule="auto"/>
        <w:ind w:left="284" w:hanging="284"/>
        <w:jc w:val="both"/>
        <w:rPr>
          <w:rFonts w:ascii="Arial" w:eastAsia="Times New Roman" w:hAnsi="Arial" w:cs="Arial"/>
          <w:b/>
          <w:snapToGrid w:val="0"/>
          <w:sz w:val="18"/>
          <w:szCs w:val="18"/>
          <w:lang w:val="es-MX" w:eastAsia="es-ES"/>
        </w:rPr>
      </w:pPr>
    </w:p>
    <w:p w14:paraId="6C8316DA" w14:textId="77777777" w:rsidR="00AB2DEF" w:rsidRPr="00B327EB" w:rsidRDefault="00AB2DEF" w:rsidP="007A2338">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Para cada opción, un impacto gamma deberá ser calculado como:</w:t>
      </w:r>
    </w:p>
    <w:p w14:paraId="7C10AB91" w14:textId="77777777" w:rsidR="00AB2DEF" w:rsidRPr="00B327EB" w:rsidRDefault="00AB2DEF" w:rsidP="003B479F">
      <w:pPr>
        <w:spacing w:after="0" w:line="240" w:lineRule="auto"/>
        <w:ind w:left="284" w:hanging="284"/>
        <w:jc w:val="both"/>
        <w:rPr>
          <w:rFonts w:ascii="Arial" w:eastAsia="Times New Roman" w:hAnsi="Arial" w:cs="Arial"/>
          <w:b/>
          <w:snapToGrid w:val="0"/>
          <w:sz w:val="18"/>
          <w:szCs w:val="18"/>
          <w:lang w:val="es-MX" w:eastAsia="es-ES"/>
        </w:rPr>
      </w:pPr>
    </w:p>
    <w:p w14:paraId="2692DBFA" w14:textId="77777777" w:rsidR="00AB2DEF" w:rsidRPr="00B327EB" w:rsidRDefault="006A0B2B" w:rsidP="003B479F">
      <w:pPr>
        <w:spacing w:after="0" w:line="240" w:lineRule="auto"/>
        <w:ind w:left="284" w:hanging="284"/>
        <w:jc w:val="center"/>
        <w:rPr>
          <w:rFonts w:ascii="Arial" w:hAnsi="Arial" w:cs="Arial"/>
          <w:b/>
          <w:bCs/>
          <w:sz w:val="18"/>
          <w:szCs w:val="18"/>
        </w:rPr>
      </w:pPr>
      <w:r w:rsidRPr="00B327EB">
        <w:rPr>
          <w:rFonts w:ascii="Arial" w:hAnsi="Arial" w:cs="Arial"/>
          <w:b/>
          <w:bCs/>
          <w:noProof/>
          <w:position w:val="-24"/>
          <w:sz w:val="18"/>
          <w:szCs w:val="18"/>
        </w:rPr>
        <w:object w:dxaOrig="2680" w:dyaOrig="620" w14:anchorId="7C9733CA">
          <v:shape id="_x0000_i1028" type="#_x0000_t75" style="width:133.1pt;height:33.5pt" o:ole="" o:borderleftcolor="this">
            <v:imagedata r:id="rId18" o:title=""/>
          </v:shape>
          <o:OLEObject Type="Embed" ProgID="Equation.3" ShapeID="_x0000_i1028" DrawAspect="Content" ObjectID="_1693809059" r:id="rId19"/>
        </w:object>
      </w:r>
    </w:p>
    <w:p w14:paraId="6B0DDADD" w14:textId="77777777" w:rsidR="00AB2DEF" w:rsidRPr="00B327EB" w:rsidRDefault="00AB2DEF" w:rsidP="003B479F">
      <w:pPr>
        <w:spacing w:after="0" w:line="240" w:lineRule="auto"/>
        <w:ind w:left="284" w:hanging="284"/>
        <w:jc w:val="both"/>
        <w:rPr>
          <w:rFonts w:ascii="Arial" w:hAnsi="Arial" w:cs="Arial"/>
          <w:b/>
          <w:bCs/>
          <w:sz w:val="18"/>
          <w:szCs w:val="18"/>
        </w:rPr>
      </w:pPr>
    </w:p>
    <w:p w14:paraId="0D923059" w14:textId="77777777" w:rsidR="00AB2DEF" w:rsidRPr="00B327EB" w:rsidRDefault="00AB2DEF" w:rsidP="007A2338">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Donde:</w:t>
      </w:r>
    </w:p>
    <w:p w14:paraId="3C5574B7" w14:textId="77777777" w:rsidR="00AB2DEF" w:rsidRPr="00B327EB" w:rsidRDefault="00AB2DEF" w:rsidP="007A2338">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VS</w:t>
      </w:r>
      <w:r w:rsidRPr="00B327EB">
        <w:rPr>
          <w:rFonts w:ascii="Arial" w:eastAsia="Times New Roman" w:hAnsi="Arial" w:cs="Arial"/>
          <w:snapToGrid w:val="0"/>
          <w:sz w:val="18"/>
          <w:szCs w:val="18"/>
          <w:lang w:val="es-MX" w:eastAsia="es-ES"/>
        </w:rPr>
        <w:tab/>
      </w:r>
      <w:r w:rsidRPr="00B327EB">
        <w:rPr>
          <w:rFonts w:ascii="Arial" w:eastAsia="Times New Roman" w:hAnsi="Arial" w:cs="Arial"/>
          <w:snapToGrid w:val="0"/>
          <w:sz w:val="18"/>
          <w:szCs w:val="18"/>
          <w:lang w:val="es-MX" w:eastAsia="es-ES"/>
        </w:rPr>
        <w:tab/>
      </w:r>
      <w:r w:rsidRPr="00B327EB">
        <w:rPr>
          <w:rFonts w:ascii="Arial" w:eastAsia="Times New Roman" w:hAnsi="Arial" w:cs="Arial"/>
          <w:snapToGrid w:val="0"/>
          <w:sz w:val="18"/>
          <w:szCs w:val="18"/>
          <w:lang w:val="es-MX" w:eastAsia="es-ES"/>
        </w:rPr>
        <w:tab/>
        <w:t>Variación del Valor del Subyacente</w:t>
      </w:r>
    </w:p>
    <w:p w14:paraId="356B54AB" w14:textId="77777777" w:rsidR="00AB2DEF" w:rsidRPr="00B327EB" w:rsidRDefault="00AB2DEF" w:rsidP="007A2338">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Gamma</w:t>
      </w:r>
      <w:r w:rsidRPr="00B327EB">
        <w:rPr>
          <w:rFonts w:ascii="Arial" w:eastAsia="Times New Roman" w:hAnsi="Arial" w:cs="Arial"/>
          <w:snapToGrid w:val="0"/>
          <w:sz w:val="18"/>
          <w:szCs w:val="18"/>
          <w:lang w:val="es-MX" w:eastAsia="es-ES"/>
        </w:rPr>
        <w:tab/>
        <w:t>Cambio del factor delta ante un cambio de una unidad en el valor del subyacente.</w:t>
      </w:r>
    </w:p>
    <w:p w14:paraId="719BE2D5" w14:textId="77777777" w:rsidR="00AB2DEF" w:rsidRPr="00B327EB" w:rsidRDefault="00AB2DEF" w:rsidP="003B479F">
      <w:pPr>
        <w:spacing w:after="0" w:line="240" w:lineRule="auto"/>
        <w:ind w:left="284" w:hanging="284"/>
        <w:jc w:val="both"/>
        <w:rPr>
          <w:rFonts w:ascii="Arial" w:eastAsia="Times New Roman" w:hAnsi="Arial" w:cs="Arial"/>
          <w:snapToGrid w:val="0"/>
          <w:sz w:val="18"/>
          <w:szCs w:val="18"/>
          <w:lang w:val="es-MX" w:eastAsia="es-ES"/>
        </w:rPr>
      </w:pPr>
    </w:p>
    <w:p w14:paraId="045A06DC" w14:textId="79D14617" w:rsidR="00AB2DEF" w:rsidRPr="00B327EB" w:rsidRDefault="00AB2DEF" w:rsidP="007A2338">
      <w:pPr>
        <w:spacing w:after="0" w:line="240" w:lineRule="auto"/>
        <w:ind w:left="284"/>
        <w:jc w:val="both"/>
        <w:rPr>
          <w:rFonts w:ascii="Arial" w:eastAsia="Times New Roman" w:hAnsi="Arial" w:cs="Arial"/>
          <w:b/>
          <w:snapToGrid w:val="0"/>
          <w:sz w:val="18"/>
          <w:szCs w:val="18"/>
          <w:lang w:val="es-MX" w:eastAsia="es-ES"/>
        </w:rPr>
      </w:pPr>
      <w:r w:rsidRPr="00B327EB">
        <w:rPr>
          <w:rFonts w:ascii="Arial" w:eastAsia="Times New Roman" w:hAnsi="Arial" w:cs="Arial"/>
          <w:snapToGrid w:val="0"/>
          <w:sz w:val="18"/>
          <w:szCs w:val="18"/>
          <w:lang w:val="es-MX" w:eastAsia="es-ES"/>
        </w:rPr>
        <w:t xml:space="preserve">La variación en el valor del subyacente corresponde al factor de sensibilidad de la banda correspondiente en la Tabla 1 cuando el subyacente sea un título de deuda o una tasa de interés. Para las opciones en acciones, la variación en el valor del subyacente es el factor de ponderación correspondiente según lo </w:t>
      </w:r>
      <w:r w:rsidRPr="00B327EB">
        <w:rPr>
          <w:rFonts w:ascii="Arial" w:eastAsia="Times New Roman" w:hAnsi="Arial" w:cs="Arial"/>
          <w:snapToGrid w:val="0"/>
          <w:sz w:val="18"/>
          <w:szCs w:val="18"/>
          <w:lang w:val="es-MX" w:eastAsia="es-ES"/>
        </w:rPr>
        <w:lastRenderedPageBreak/>
        <w:t xml:space="preserve">estipulado en </w:t>
      </w:r>
      <w:r w:rsidR="00704750" w:rsidRPr="00B327EB">
        <w:rPr>
          <w:rFonts w:ascii="Arial" w:eastAsia="Times New Roman" w:hAnsi="Arial" w:cs="Arial"/>
          <w:snapToGrid w:val="0"/>
          <w:sz w:val="18"/>
          <w:szCs w:val="18"/>
          <w:lang w:val="es-MX" w:eastAsia="es-ES"/>
        </w:rPr>
        <w:t xml:space="preserve">el subnumeral </w:t>
      </w:r>
      <w:r w:rsidR="00CE2B9B" w:rsidRPr="00B327EB">
        <w:rPr>
          <w:rFonts w:ascii="Arial" w:eastAsia="Times New Roman" w:hAnsi="Arial" w:cs="Arial"/>
          <w:snapToGrid w:val="0"/>
          <w:sz w:val="18"/>
          <w:szCs w:val="18"/>
          <w:lang w:val="es-MX" w:eastAsia="es-ES"/>
        </w:rPr>
        <w:t>2.4</w:t>
      </w:r>
      <w:r w:rsidR="00704750" w:rsidRPr="00B327EB">
        <w:rPr>
          <w:rFonts w:ascii="Arial" w:eastAsia="Times New Roman" w:hAnsi="Arial" w:cs="Arial"/>
          <w:snapToGrid w:val="0"/>
          <w:sz w:val="18"/>
          <w:szCs w:val="18"/>
          <w:lang w:val="es-MX" w:eastAsia="es-ES"/>
        </w:rPr>
        <w:t xml:space="preserve"> del presente anexo</w:t>
      </w:r>
      <w:r w:rsidRPr="00B327EB">
        <w:rPr>
          <w:rFonts w:ascii="Arial" w:eastAsia="Times New Roman" w:hAnsi="Arial" w:cs="Arial"/>
          <w:snapToGrid w:val="0"/>
          <w:sz w:val="18"/>
          <w:szCs w:val="18"/>
          <w:lang w:val="es-MX" w:eastAsia="es-ES"/>
        </w:rPr>
        <w:t>. Para las posiciones en moneda extranjera o divisas, el cambio en el valor del subyacente es el estipulado en la Tabla 2 según corresponda</w:t>
      </w:r>
      <w:r w:rsidRPr="00B327EB">
        <w:rPr>
          <w:rFonts w:ascii="Arial" w:eastAsia="Times New Roman" w:hAnsi="Arial" w:cs="Arial"/>
          <w:b/>
          <w:snapToGrid w:val="0"/>
          <w:sz w:val="18"/>
          <w:szCs w:val="18"/>
          <w:lang w:val="es-MX" w:eastAsia="es-ES"/>
        </w:rPr>
        <w:t>.</w:t>
      </w:r>
    </w:p>
    <w:p w14:paraId="74D73764"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1C79F802" w14:textId="44B1D222" w:rsidR="00AB2DEF" w:rsidRPr="00B327EB" w:rsidRDefault="00AB2DEF" w:rsidP="007A2338">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Posteriormente, las posiciones en opciones se agruparán según el instrumento subyacente, como se explica a continuación:</w:t>
      </w:r>
    </w:p>
    <w:p w14:paraId="0E2C12F6"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4BE01D9D" w14:textId="0C41EDE1" w:rsidR="00DF2B76" w:rsidRPr="00B327EB" w:rsidRDefault="00AB2DEF" w:rsidP="00E6245C">
      <w:pPr>
        <w:pStyle w:val="Prrafodelista"/>
        <w:numPr>
          <w:ilvl w:val="0"/>
          <w:numId w:val="19"/>
        </w:numPr>
        <w:spacing w:after="0" w:line="240" w:lineRule="auto"/>
        <w:ind w:left="567" w:hanging="283"/>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Por banda en las escaleras de duración modificada en el caso de opciones con subyacentes expuestos a riesgo de tasa de interés.</w:t>
      </w:r>
    </w:p>
    <w:p w14:paraId="6FDCFD5A" w14:textId="77777777" w:rsidR="00DF2B76" w:rsidRPr="00B327EB" w:rsidRDefault="00AB2DEF" w:rsidP="00E6245C">
      <w:pPr>
        <w:pStyle w:val="Prrafodelista"/>
        <w:numPr>
          <w:ilvl w:val="0"/>
          <w:numId w:val="19"/>
        </w:numPr>
        <w:spacing w:after="0" w:line="240" w:lineRule="auto"/>
        <w:ind w:left="567" w:hanging="283"/>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Por mercado nacional en el caso de opciones con subyacentes expuestos a riesgo de cambios en el precio de acciones.</w:t>
      </w:r>
    </w:p>
    <w:p w14:paraId="0BF0666D" w14:textId="77777777" w:rsidR="00AB2DEF" w:rsidRPr="00B327EB" w:rsidRDefault="00BA5377" w:rsidP="00E6245C">
      <w:pPr>
        <w:pStyle w:val="Prrafodelista"/>
        <w:numPr>
          <w:ilvl w:val="0"/>
          <w:numId w:val="19"/>
        </w:numPr>
        <w:spacing w:after="0" w:line="240" w:lineRule="auto"/>
        <w:ind w:left="567" w:hanging="283"/>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 </w:t>
      </w:r>
      <w:r w:rsidR="00AB2DEF" w:rsidRPr="00B327EB">
        <w:rPr>
          <w:rFonts w:ascii="Arial" w:eastAsia="Times New Roman" w:hAnsi="Arial" w:cs="Arial"/>
          <w:snapToGrid w:val="0"/>
          <w:sz w:val="18"/>
          <w:szCs w:val="18"/>
          <w:lang w:val="es-MX" w:eastAsia="es-ES"/>
        </w:rPr>
        <w:t>Por moneda en el caso de opciones con subyacentes expuestos a riesgo de tasa de cambio.</w:t>
      </w:r>
    </w:p>
    <w:p w14:paraId="20961979"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395C0170" w14:textId="77777777" w:rsidR="00AB2DEF" w:rsidRPr="00B327EB" w:rsidRDefault="00AB2DEF" w:rsidP="00E6245C">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Para cada grupo se calcula un impacto gamma neto, como la suma de los impactos gamma de todas las posiciones en la agrupación. Para el cálculo de los requerimientos de capital solamente se tienen en cuenta, en valor absoluto, los impactos gamma netos negativos.</w:t>
      </w:r>
    </w:p>
    <w:p w14:paraId="19AFEE4C" w14:textId="77777777" w:rsidR="00AB2DEF" w:rsidRPr="00B327EB" w:rsidRDefault="00AB2DEF" w:rsidP="006C25A4">
      <w:pPr>
        <w:spacing w:after="0" w:line="240" w:lineRule="auto"/>
        <w:ind w:left="284" w:hanging="284"/>
        <w:jc w:val="both"/>
        <w:rPr>
          <w:rFonts w:ascii="Arial" w:eastAsia="Times New Roman" w:hAnsi="Arial" w:cs="Arial"/>
          <w:b/>
          <w:snapToGrid w:val="0"/>
          <w:sz w:val="18"/>
          <w:szCs w:val="18"/>
          <w:lang w:val="es-MX" w:eastAsia="es-ES"/>
        </w:rPr>
      </w:pPr>
    </w:p>
    <w:p w14:paraId="0D558D77" w14:textId="699D1B0E"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c.</w:t>
      </w:r>
      <w:r w:rsidR="00E6245C" w:rsidRPr="00B327EB">
        <w:rPr>
          <w:rFonts w:ascii="Arial" w:eastAsia="Times New Roman" w:hAnsi="Arial" w:cs="Arial"/>
          <w:snapToGrid w:val="0"/>
          <w:sz w:val="18"/>
          <w:szCs w:val="18"/>
          <w:lang w:val="es-MX" w:eastAsia="es-ES"/>
        </w:rPr>
        <w:t xml:space="preserve"> </w:t>
      </w:r>
      <w:r w:rsidRPr="00B327EB">
        <w:rPr>
          <w:rFonts w:ascii="Arial" w:eastAsia="Times New Roman" w:hAnsi="Arial" w:cs="Arial"/>
          <w:snapToGrid w:val="0"/>
          <w:sz w:val="18"/>
          <w:szCs w:val="18"/>
          <w:lang w:val="es-MX" w:eastAsia="es-ES"/>
        </w:rPr>
        <w:t xml:space="preserve"> Riesgo Vega</w:t>
      </w:r>
      <w:r w:rsidR="009959B0" w:rsidRPr="00B327EB">
        <w:rPr>
          <w:rFonts w:ascii="Arial" w:eastAsia="Times New Roman" w:hAnsi="Arial" w:cs="Arial"/>
          <w:snapToGrid w:val="0"/>
          <w:sz w:val="18"/>
          <w:szCs w:val="18"/>
          <w:lang w:val="es-MX" w:eastAsia="es-ES"/>
        </w:rPr>
        <w:t>.</w:t>
      </w:r>
    </w:p>
    <w:p w14:paraId="2620B605" w14:textId="77777777" w:rsidR="00AB2DEF" w:rsidRPr="00B327EB" w:rsidRDefault="00AB2DEF" w:rsidP="006C25A4">
      <w:pPr>
        <w:spacing w:after="0" w:line="240" w:lineRule="auto"/>
        <w:ind w:left="284" w:hanging="284"/>
        <w:jc w:val="both"/>
        <w:rPr>
          <w:rFonts w:ascii="Arial" w:eastAsia="Times New Roman" w:hAnsi="Arial" w:cs="Arial"/>
          <w:b/>
          <w:snapToGrid w:val="0"/>
          <w:sz w:val="18"/>
          <w:szCs w:val="18"/>
          <w:lang w:val="es-MX" w:eastAsia="es-ES"/>
        </w:rPr>
      </w:pPr>
    </w:p>
    <w:p w14:paraId="4FF3A29A" w14:textId="77777777" w:rsidR="00AB2DEF" w:rsidRPr="00B327EB" w:rsidRDefault="00AB2DEF" w:rsidP="008367C3">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El riesgo vega refleja la sensibilidad del valor de las posiciones en opciones con respecto a cambios en la volatilidad del valor del instrumento subyacente. El cargo de capital correspondiente a este tipo de riesgo es calculado como la suma de los impactos vega de cada opción.</w:t>
      </w:r>
    </w:p>
    <w:p w14:paraId="50B1BE0B"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4DD48C81" w14:textId="77777777" w:rsidR="00AB2DEF" w:rsidRPr="00B327EB" w:rsidRDefault="00AB2DEF" w:rsidP="008367C3">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Estos impactos se calculan aplicando a la volatilidad del valor subyacente asociado un cambio de 25% positivo o negativo según sea la posición (corta o larga), sobre el factor vega correspondiente.</w:t>
      </w:r>
    </w:p>
    <w:p w14:paraId="6E1F08E7"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37A5702B" w14:textId="77777777" w:rsidR="00AB2DEF" w:rsidRPr="00B327EB" w:rsidRDefault="00AB2DEF" w:rsidP="008367C3">
      <w:pPr>
        <w:spacing w:after="0" w:line="240" w:lineRule="auto"/>
        <w:ind w:left="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El factor vega correspondiente mide el cambio del valor de la opción ante un cambio unitario en la volatilidad del valor del instrumento subyacente.</w:t>
      </w:r>
    </w:p>
    <w:p w14:paraId="60CCEAF9" w14:textId="77777777" w:rsidR="00AB2DEF" w:rsidRPr="00B327EB" w:rsidRDefault="00AB2DEF" w:rsidP="006C25A4">
      <w:pPr>
        <w:spacing w:after="0" w:line="240" w:lineRule="auto"/>
        <w:ind w:left="284" w:hanging="284"/>
        <w:jc w:val="both"/>
        <w:rPr>
          <w:rFonts w:ascii="Arial" w:eastAsia="Times New Roman" w:hAnsi="Arial" w:cs="Arial"/>
          <w:snapToGrid w:val="0"/>
          <w:sz w:val="18"/>
          <w:szCs w:val="18"/>
          <w:lang w:val="es-MX" w:eastAsia="es-ES"/>
        </w:rPr>
      </w:pPr>
    </w:p>
    <w:p w14:paraId="7ADD6D5B" w14:textId="590FDC23" w:rsidR="00CC3E2A" w:rsidRPr="00B327EB" w:rsidRDefault="00AB2DEF" w:rsidP="0035528C">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Para el cálculo de los factores de sensibilidad delta, gamma y vega, así como de las volatilidades de los subyacentes que se utilicen en el cálculo del riesgo vega, las instituciones financieras deben aplicar metodologías concordantes con los</w:t>
      </w:r>
      <w:r w:rsidRPr="00B327EB">
        <w:rPr>
          <w:rFonts w:ascii="Arial" w:eastAsia="Times New Roman" w:hAnsi="Arial" w:cs="Arial"/>
          <w:b/>
          <w:snapToGrid w:val="0"/>
          <w:sz w:val="18"/>
          <w:szCs w:val="18"/>
          <w:lang w:val="es-MX" w:eastAsia="es-ES"/>
        </w:rPr>
        <w:t xml:space="preserve"> </w:t>
      </w:r>
      <w:r w:rsidRPr="00B327EB">
        <w:rPr>
          <w:rFonts w:ascii="Arial" w:eastAsia="Times New Roman" w:hAnsi="Arial" w:cs="Arial"/>
          <w:snapToGrid w:val="0"/>
          <w:sz w:val="18"/>
          <w:szCs w:val="18"/>
          <w:lang w:val="es-MX" w:eastAsia="es-ES"/>
        </w:rPr>
        <w:t>modelos para</w:t>
      </w:r>
      <w:r w:rsidRPr="00B327EB">
        <w:rPr>
          <w:rFonts w:ascii="Arial" w:eastAsia="Times New Roman" w:hAnsi="Arial" w:cs="Arial"/>
          <w:b/>
          <w:snapToGrid w:val="0"/>
          <w:sz w:val="18"/>
          <w:szCs w:val="18"/>
          <w:lang w:val="es-MX" w:eastAsia="es-ES"/>
        </w:rPr>
        <w:t xml:space="preserve"> </w:t>
      </w:r>
      <w:r w:rsidRPr="00B327EB">
        <w:rPr>
          <w:rFonts w:ascii="Arial" w:eastAsia="Times New Roman" w:hAnsi="Arial" w:cs="Arial"/>
          <w:snapToGrid w:val="0"/>
          <w:sz w:val="18"/>
          <w:szCs w:val="18"/>
          <w:lang w:val="es-MX" w:eastAsia="es-ES"/>
        </w:rPr>
        <w:t xml:space="preserve">la valoración de dichos instrumentos, </w:t>
      </w:r>
      <w:r w:rsidR="001D1231" w:rsidRPr="00B327EB">
        <w:rPr>
          <w:rFonts w:ascii="Arial" w:eastAsia="Times New Roman" w:hAnsi="Arial" w:cs="Arial"/>
          <w:snapToGrid w:val="0"/>
          <w:sz w:val="18"/>
          <w:szCs w:val="18"/>
          <w:lang w:val="es-MX" w:eastAsia="es-ES"/>
        </w:rPr>
        <w:t>de acuerdo con</w:t>
      </w:r>
      <w:r w:rsidRPr="00B327EB">
        <w:rPr>
          <w:rFonts w:ascii="Arial" w:eastAsia="Times New Roman" w:hAnsi="Arial" w:cs="Arial"/>
          <w:snapToGrid w:val="0"/>
          <w:sz w:val="18"/>
          <w:szCs w:val="18"/>
          <w:lang w:val="es-MX" w:eastAsia="es-ES"/>
        </w:rPr>
        <w:t xml:space="preserve"> lo estipulado en el Capítulo XVIII de </w:t>
      </w:r>
      <w:r w:rsidR="00144E92" w:rsidRPr="00B327EB">
        <w:rPr>
          <w:rFonts w:ascii="Arial" w:eastAsia="Times New Roman" w:hAnsi="Arial" w:cs="Arial"/>
          <w:snapToGrid w:val="0"/>
          <w:sz w:val="18"/>
          <w:szCs w:val="18"/>
          <w:lang w:val="es-MX" w:eastAsia="es-ES"/>
        </w:rPr>
        <w:t>CBCF</w:t>
      </w:r>
      <w:r w:rsidRPr="00B327EB">
        <w:rPr>
          <w:rFonts w:ascii="Arial" w:eastAsia="Times New Roman" w:hAnsi="Arial" w:cs="Arial"/>
          <w:snapToGrid w:val="0"/>
          <w:sz w:val="18"/>
          <w:szCs w:val="18"/>
          <w:lang w:val="es-MX" w:eastAsia="es-ES"/>
        </w:rPr>
        <w:t>.</w:t>
      </w:r>
    </w:p>
    <w:p w14:paraId="35B86A97" w14:textId="7EDDE3D1" w:rsidR="00B84BD9" w:rsidRPr="00B327EB" w:rsidRDefault="00B84BD9" w:rsidP="00354640">
      <w:pPr>
        <w:spacing w:after="0" w:line="240" w:lineRule="auto"/>
        <w:jc w:val="both"/>
        <w:rPr>
          <w:rFonts w:ascii="Arial" w:eastAsia="Times New Roman" w:hAnsi="Arial" w:cs="Arial"/>
          <w:snapToGrid w:val="0"/>
          <w:sz w:val="18"/>
          <w:szCs w:val="18"/>
          <w:lang w:val="es-MX" w:eastAsia="es-ES"/>
        </w:rPr>
      </w:pPr>
    </w:p>
    <w:p w14:paraId="23638610" w14:textId="20CE0388" w:rsidR="00D15DCF" w:rsidRPr="00B327EB" w:rsidRDefault="00D15DC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Riesgo de credit default swaps</w:t>
      </w:r>
    </w:p>
    <w:p w14:paraId="3C1AC783" w14:textId="77777777" w:rsidR="00D15DCF" w:rsidRPr="00B327EB" w:rsidRDefault="00D15DCF" w:rsidP="00354640">
      <w:pPr>
        <w:spacing w:after="0" w:line="240" w:lineRule="auto"/>
        <w:jc w:val="both"/>
        <w:rPr>
          <w:rFonts w:ascii="Arial" w:eastAsia="Times New Roman" w:hAnsi="Arial" w:cs="Arial"/>
          <w:snapToGrid w:val="0"/>
          <w:sz w:val="18"/>
          <w:szCs w:val="18"/>
          <w:lang w:val="es-MX" w:eastAsia="es-ES"/>
        </w:rPr>
      </w:pPr>
    </w:p>
    <w:p w14:paraId="6A64D32A" w14:textId="77777777" w:rsidR="00D15DCF" w:rsidRPr="00B327EB" w:rsidRDefault="00D15DC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Para las operaciones de credit default swaps, el cálculo del riesgo busca capturar el riesgo asociado a movimientos adversos en el valor razonable de los CDS, y corresponde a la suma de las posiciones netas ponderadas en cada operación de CDS. La posición neta ponderada corresponde al producto de:</w:t>
      </w:r>
    </w:p>
    <w:p w14:paraId="3905E5A6" w14:textId="77777777" w:rsidR="00D15DCF" w:rsidRPr="00B327EB" w:rsidRDefault="00D15DCF" w:rsidP="00354640">
      <w:pPr>
        <w:spacing w:after="0" w:line="240" w:lineRule="auto"/>
        <w:jc w:val="both"/>
        <w:rPr>
          <w:rFonts w:ascii="Arial" w:eastAsia="Times New Roman" w:hAnsi="Arial" w:cs="Arial"/>
          <w:snapToGrid w:val="0"/>
          <w:sz w:val="18"/>
          <w:szCs w:val="18"/>
          <w:lang w:val="es-MX" w:eastAsia="es-ES"/>
        </w:rPr>
      </w:pPr>
    </w:p>
    <w:p w14:paraId="3247E0A8" w14:textId="2ED25BF1" w:rsidR="00D15DCF" w:rsidRPr="00B327EB" w:rsidRDefault="00D15DCF" w:rsidP="00742A15">
      <w:pPr>
        <w:pStyle w:val="Prrafodelista"/>
        <w:numPr>
          <w:ilvl w:val="0"/>
          <w:numId w:val="31"/>
        </w:num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La posición neta de cada CDS.</w:t>
      </w:r>
    </w:p>
    <w:p w14:paraId="46B87E4E" w14:textId="77777777" w:rsidR="00742A15" w:rsidRPr="00B327EB" w:rsidRDefault="00742A15" w:rsidP="00742A15">
      <w:pPr>
        <w:spacing w:after="0" w:line="240" w:lineRule="auto"/>
        <w:jc w:val="both"/>
        <w:rPr>
          <w:rFonts w:ascii="Arial" w:eastAsia="Times New Roman" w:hAnsi="Arial" w:cs="Arial"/>
          <w:snapToGrid w:val="0"/>
          <w:sz w:val="18"/>
          <w:szCs w:val="18"/>
          <w:lang w:val="es-MX" w:eastAsia="es-ES"/>
        </w:rPr>
      </w:pPr>
    </w:p>
    <w:p w14:paraId="2179B546" w14:textId="0A824E39" w:rsidR="00B84BD9" w:rsidRPr="00B327EB" w:rsidRDefault="00D15DCF" w:rsidP="0035528C">
      <w:pPr>
        <w:spacing w:after="0" w:line="240" w:lineRule="auto"/>
        <w:ind w:left="284" w:hanging="284"/>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b.</w:t>
      </w:r>
      <w:r w:rsidRPr="00B327EB">
        <w:rPr>
          <w:rFonts w:ascii="Arial" w:eastAsia="Times New Roman" w:hAnsi="Arial" w:cs="Arial"/>
          <w:snapToGrid w:val="0"/>
          <w:sz w:val="18"/>
          <w:szCs w:val="18"/>
          <w:lang w:val="es-MX" w:eastAsia="es-ES"/>
        </w:rPr>
        <w:tab/>
        <w:t>El factor de sensibilidad al riesgo general de los CDS publicado por la SFC.</w:t>
      </w:r>
    </w:p>
    <w:p w14:paraId="52F31A93"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534F684C" w14:textId="4263BB16" w:rsidR="00AB2DEF"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Cálculo exposición total a los riesgos de mercado con el modelo estándar</w:t>
      </w:r>
    </w:p>
    <w:p w14:paraId="2860FED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2C1DE9D5" w14:textId="53AC05D3"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Con el fin de calcular la exposición total a los riesgos de mercado, las entidades a que hace referencia el presente anexo deben sumar las exposiciones obtenidas para cada uno de los módulos de la metodología estandarizada, </w:t>
      </w:r>
      <w:r w:rsidR="00AB7F1D" w:rsidRPr="00B327EB">
        <w:rPr>
          <w:rFonts w:ascii="Arial" w:eastAsia="Times New Roman" w:hAnsi="Arial" w:cs="Arial"/>
          <w:snapToGrid w:val="0"/>
          <w:sz w:val="18"/>
          <w:szCs w:val="18"/>
          <w:lang w:val="es-MX" w:eastAsia="es-ES"/>
        </w:rPr>
        <w:t>de acuerdo con</w:t>
      </w:r>
      <w:r w:rsidRPr="00B327EB">
        <w:rPr>
          <w:rFonts w:ascii="Arial" w:eastAsia="Times New Roman" w:hAnsi="Arial" w:cs="Arial"/>
          <w:snapToGrid w:val="0"/>
          <w:sz w:val="18"/>
          <w:szCs w:val="18"/>
          <w:lang w:val="es-MX" w:eastAsia="es-ES"/>
        </w:rPr>
        <w:t xml:space="preserve"> lo descrito en los subnumerales </w:t>
      </w:r>
      <w:r w:rsidR="00CE2B9B" w:rsidRPr="00B327EB">
        <w:rPr>
          <w:rFonts w:ascii="Arial" w:eastAsia="Times New Roman" w:hAnsi="Arial" w:cs="Arial"/>
          <w:snapToGrid w:val="0"/>
          <w:sz w:val="18"/>
          <w:szCs w:val="18"/>
          <w:lang w:val="es-MX" w:eastAsia="es-ES"/>
        </w:rPr>
        <w:t>2.2 a 2.</w:t>
      </w:r>
      <w:r w:rsidR="009A2B61" w:rsidRPr="00B327EB">
        <w:rPr>
          <w:rFonts w:ascii="Arial" w:eastAsia="Times New Roman" w:hAnsi="Arial" w:cs="Arial"/>
          <w:snapToGrid w:val="0"/>
          <w:sz w:val="18"/>
          <w:szCs w:val="18"/>
          <w:lang w:val="es-MX" w:eastAsia="es-ES"/>
        </w:rPr>
        <w:t>5 y 2.7</w:t>
      </w:r>
      <w:r w:rsidRPr="00B327EB">
        <w:rPr>
          <w:rFonts w:ascii="Arial" w:eastAsia="Times New Roman" w:hAnsi="Arial" w:cs="Arial"/>
          <w:snapToGrid w:val="0"/>
          <w:sz w:val="18"/>
          <w:szCs w:val="18"/>
          <w:lang w:val="es-MX" w:eastAsia="es-ES"/>
        </w:rPr>
        <w:t xml:space="preserve"> del presente anexo.</w:t>
      </w:r>
    </w:p>
    <w:p w14:paraId="12A054C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2BE19D01"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El monto obtenido siguiendo este procedimiento, corresponde al valor de la exposición por riesgo de mercado aplicable al cálculo del patrimonio adecuado de las entidades de seguros generales de conformidad con lo dispuesto en el artículo 2.31.1.2.10 del Decreto 2555 de 2010 o demás normas que lo sustituyan, modifiquen o subroguen.</w:t>
      </w:r>
    </w:p>
    <w:p w14:paraId="0950FE1E"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0D2F980E" w14:textId="5E78FE09" w:rsidR="00330A40" w:rsidRPr="00B327EB" w:rsidRDefault="00AB2DEF" w:rsidP="00330A40">
      <w:pPr>
        <w:numPr>
          <w:ilvl w:val="1"/>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Reglas relativas a la medición de riesgos de mercado a través de modelos internos para</w:t>
      </w:r>
      <w:r w:rsidR="006D58B4" w:rsidRPr="00B327EB">
        <w:rPr>
          <w:rFonts w:ascii="Arial" w:eastAsia="Times New Roman" w:hAnsi="Arial" w:cs="Arial"/>
          <w:b/>
          <w:sz w:val="18"/>
          <w:szCs w:val="18"/>
          <w:lang w:val="es-ES" w:eastAsia="es-ES"/>
        </w:rPr>
        <w:t xml:space="preserve"> entidades de seguros generales</w:t>
      </w:r>
    </w:p>
    <w:p w14:paraId="1B56F2E3"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71B0AB9B" w14:textId="01AC78BB"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Las entidades de seguros generales que de acuerdo con lo señalado en el presente </w:t>
      </w:r>
      <w:r w:rsidR="00144E92" w:rsidRPr="00B327EB">
        <w:rPr>
          <w:rFonts w:ascii="Arial" w:eastAsia="Times New Roman" w:hAnsi="Arial" w:cs="Arial"/>
          <w:snapToGrid w:val="0"/>
          <w:sz w:val="18"/>
          <w:szCs w:val="18"/>
          <w:lang w:val="es-MX" w:eastAsia="es-ES"/>
        </w:rPr>
        <w:t>C</w:t>
      </w:r>
      <w:r w:rsidRPr="00B327EB">
        <w:rPr>
          <w:rFonts w:ascii="Arial" w:eastAsia="Times New Roman" w:hAnsi="Arial" w:cs="Arial"/>
          <w:snapToGrid w:val="0"/>
          <w:sz w:val="18"/>
          <w:szCs w:val="18"/>
          <w:lang w:val="es-MX" w:eastAsia="es-ES"/>
        </w:rPr>
        <w:t xml:space="preserve">apítulo puedan adoptar modelos internos para la medición de los riesgos de mercado, deben tener en cuenta en su diseño los parámetros mínimos establecidos en el presente numeral, de acuerdo con lo establecido en el numeral </w:t>
      </w:r>
      <w:r w:rsidR="00BA5377" w:rsidRPr="00B327EB">
        <w:rPr>
          <w:rFonts w:ascii="Arial" w:eastAsia="Times New Roman" w:hAnsi="Arial" w:cs="Arial"/>
          <w:snapToGrid w:val="0"/>
          <w:sz w:val="18"/>
          <w:szCs w:val="18"/>
          <w:lang w:val="es-MX" w:eastAsia="es-ES"/>
        </w:rPr>
        <w:t xml:space="preserve">3 de la Parte III </w:t>
      </w:r>
      <w:r w:rsidRPr="00B327EB">
        <w:rPr>
          <w:rFonts w:ascii="Arial" w:eastAsia="Times New Roman" w:hAnsi="Arial" w:cs="Arial"/>
          <w:snapToGrid w:val="0"/>
          <w:sz w:val="18"/>
          <w:szCs w:val="18"/>
          <w:lang w:val="es-MX" w:eastAsia="es-ES"/>
        </w:rPr>
        <w:t xml:space="preserve">del presente </w:t>
      </w:r>
      <w:r w:rsidR="00144E92" w:rsidRPr="00B327EB">
        <w:rPr>
          <w:rFonts w:ascii="Arial" w:eastAsia="Times New Roman" w:hAnsi="Arial" w:cs="Arial"/>
          <w:snapToGrid w:val="0"/>
          <w:sz w:val="18"/>
          <w:szCs w:val="18"/>
          <w:lang w:val="es-MX" w:eastAsia="es-ES"/>
        </w:rPr>
        <w:t>C</w:t>
      </w:r>
      <w:r w:rsidRPr="00B327EB">
        <w:rPr>
          <w:rFonts w:ascii="Arial" w:eastAsia="Times New Roman" w:hAnsi="Arial" w:cs="Arial"/>
          <w:snapToGrid w:val="0"/>
          <w:sz w:val="18"/>
          <w:szCs w:val="18"/>
          <w:lang w:val="es-MX" w:eastAsia="es-ES"/>
        </w:rPr>
        <w:t>apítulo.</w:t>
      </w:r>
    </w:p>
    <w:p w14:paraId="21B4528B"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1DCF7471" w14:textId="0C342853"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 xml:space="preserve">En todo caso, hasta tanto no cuenten con </w:t>
      </w:r>
      <w:r w:rsidR="00CE56DB" w:rsidRPr="00B327EB">
        <w:rPr>
          <w:rFonts w:ascii="Arial" w:eastAsia="Times New Roman" w:hAnsi="Arial" w:cs="Arial"/>
          <w:snapToGrid w:val="0"/>
          <w:sz w:val="18"/>
          <w:szCs w:val="18"/>
          <w:lang w:val="es-ES_tradnl" w:eastAsia="es-ES"/>
        </w:rPr>
        <w:t>el pronunciamiento de no objeción de los</w:t>
      </w:r>
      <w:r w:rsidR="00CE56DB" w:rsidRPr="00B327EB">
        <w:rPr>
          <w:rFonts w:ascii="Arial" w:eastAsia="Times New Roman" w:hAnsi="Arial" w:cs="Arial"/>
          <w:snapToGrid w:val="0"/>
          <w:sz w:val="18"/>
          <w:szCs w:val="18"/>
          <w:lang w:val="es-MX" w:eastAsia="es-ES"/>
        </w:rPr>
        <w:t xml:space="preserve"> </w:t>
      </w:r>
      <w:r w:rsidRPr="00B327EB">
        <w:rPr>
          <w:rFonts w:ascii="Arial" w:eastAsia="Times New Roman" w:hAnsi="Arial" w:cs="Arial"/>
          <w:snapToGrid w:val="0"/>
          <w:sz w:val="18"/>
          <w:szCs w:val="18"/>
          <w:lang w:val="es-MX" w:eastAsia="es-ES"/>
        </w:rPr>
        <w:t xml:space="preserve">modelos </w:t>
      </w:r>
      <w:r w:rsidR="00CE56DB" w:rsidRPr="00B327EB">
        <w:rPr>
          <w:rFonts w:ascii="Arial" w:eastAsia="Times New Roman" w:hAnsi="Arial" w:cs="Arial"/>
          <w:snapToGrid w:val="0"/>
          <w:sz w:val="18"/>
          <w:szCs w:val="18"/>
          <w:lang w:val="es-MX" w:eastAsia="es-ES"/>
        </w:rPr>
        <w:t>internos presentados a la SFC</w:t>
      </w:r>
      <w:r w:rsidRPr="00B327EB">
        <w:rPr>
          <w:rFonts w:ascii="Arial" w:eastAsia="Times New Roman" w:hAnsi="Arial" w:cs="Arial"/>
          <w:snapToGrid w:val="0"/>
          <w:sz w:val="18"/>
          <w:szCs w:val="18"/>
          <w:lang w:val="es-MX" w:eastAsia="es-ES"/>
        </w:rPr>
        <w:t>, tales entidades deben utilizar el modelo estándar para la medición de sus exposiciones a los riesgos de mercado.</w:t>
      </w:r>
    </w:p>
    <w:p w14:paraId="3AB2D3A4"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p>
    <w:p w14:paraId="796E0414" w14:textId="77777777" w:rsidR="00AB2DEF" w:rsidRPr="00B327EB" w:rsidRDefault="00AB2DEF" w:rsidP="00354640">
      <w:pPr>
        <w:spacing w:after="0" w:line="240" w:lineRule="auto"/>
        <w:jc w:val="both"/>
        <w:rPr>
          <w:rFonts w:ascii="Arial" w:eastAsia="Times New Roman" w:hAnsi="Arial" w:cs="Arial"/>
          <w:snapToGrid w:val="0"/>
          <w:sz w:val="18"/>
          <w:szCs w:val="18"/>
          <w:lang w:val="es-MX" w:eastAsia="es-ES"/>
        </w:rPr>
      </w:pPr>
      <w:r w:rsidRPr="00B327EB">
        <w:rPr>
          <w:rFonts w:ascii="Arial" w:eastAsia="Times New Roman" w:hAnsi="Arial" w:cs="Arial"/>
          <w:snapToGrid w:val="0"/>
          <w:sz w:val="18"/>
          <w:szCs w:val="18"/>
          <w:lang w:val="es-MX" w:eastAsia="es-ES"/>
        </w:rPr>
        <w:t>Sin perjuicio de lo anterior, todas las entidades a que se refiere este numeral deben estar en capacidad de reportar el valor que resultaría de calcular la exposición a riesgos de mercado utilizando la metodología estandarizada.</w:t>
      </w:r>
    </w:p>
    <w:p w14:paraId="03246A17" w14:textId="5B0D851B" w:rsidR="00DA77C8" w:rsidRPr="00B327EB" w:rsidRDefault="00DA77C8" w:rsidP="00354640">
      <w:pPr>
        <w:spacing w:after="0" w:line="240" w:lineRule="auto"/>
        <w:jc w:val="both"/>
        <w:rPr>
          <w:rFonts w:ascii="Arial" w:eastAsia="Times New Roman" w:hAnsi="Arial" w:cs="Arial"/>
          <w:snapToGrid w:val="0"/>
          <w:sz w:val="18"/>
          <w:szCs w:val="18"/>
          <w:lang w:val="es-MX" w:eastAsia="es-ES"/>
        </w:rPr>
      </w:pPr>
    </w:p>
    <w:p w14:paraId="30B84E07" w14:textId="299627A1" w:rsidR="009474E6" w:rsidRPr="00B327EB" w:rsidRDefault="009474E6" w:rsidP="00354640">
      <w:pPr>
        <w:spacing w:after="0" w:line="240" w:lineRule="auto"/>
        <w:jc w:val="both"/>
        <w:rPr>
          <w:rFonts w:ascii="Arial" w:eastAsia="Times New Roman" w:hAnsi="Arial" w:cs="Arial"/>
          <w:snapToGrid w:val="0"/>
          <w:sz w:val="18"/>
          <w:szCs w:val="18"/>
          <w:lang w:val="es-MX" w:eastAsia="es-ES"/>
        </w:rPr>
      </w:pPr>
    </w:p>
    <w:p w14:paraId="428A28C6" w14:textId="15628F56" w:rsidR="00DA77C8" w:rsidRPr="00B327EB" w:rsidRDefault="00DA77C8" w:rsidP="00330A40">
      <w:pPr>
        <w:numPr>
          <w:ilvl w:val="0"/>
          <w:numId w:val="1"/>
        </w:numPr>
        <w:spacing w:after="0" w:line="240" w:lineRule="auto"/>
        <w:ind w:left="0" w:firstLine="0"/>
        <w:contextualSpacing/>
        <w:jc w:val="both"/>
        <w:rPr>
          <w:rFonts w:ascii="Arial" w:eastAsia="Times New Roman" w:hAnsi="Arial" w:cs="Arial"/>
          <w:b/>
          <w:sz w:val="18"/>
          <w:szCs w:val="18"/>
          <w:lang w:val="es-ES" w:eastAsia="es-ES"/>
        </w:rPr>
      </w:pPr>
      <w:r w:rsidRPr="00B327EB">
        <w:rPr>
          <w:rFonts w:ascii="Arial" w:eastAsia="Times New Roman" w:hAnsi="Arial" w:cs="Arial"/>
          <w:b/>
          <w:sz w:val="18"/>
          <w:szCs w:val="18"/>
          <w:lang w:val="es-ES" w:eastAsia="es-ES"/>
        </w:rPr>
        <w:t xml:space="preserve">Reglas relativas a los reportes de información </w:t>
      </w:r>
    </w:p>
    <w:p w14:paraId="6EE6F6F8" w14:textId="77777777" w:rsidR="00DA77C8" w:rsidRPr="00B327EB" w:rsidRDefault="00DA77C8" w:rsidP="00354640">
      <w:pPr>
        <w:spacing w:after="0" w:line="240" w:lineRule="auto"/>
        <w:jc w:val="both"/>
        <w:rPr>
          <w:rFonts w:ascii="Arial" w:eastAsia="Times New Roman" w:hAnsi="Arial" w:cs="Arial"/>
          <w:bCs/>
          <w:sz w:val="18"/>
          <w:szCs w:val="18"/>
          <w:lang w:val="es-MX" w:eastAsia="es-ES"/>
        </w:rPr>
      </w:pPr>
    </w:p>
    <w:p w14:paraId="0C9F7ABD" w14:textId="35B8000E" w:rsidR="00AB2DEF" w:rsidRPr="00354640" w:rsidRDefault="00DA77C8" w:rsidP="00354640">
      <w:pPr>
        <w:spacing w:after="0" w:line="240" w:lineRule="auto"/>
        <w:jc w:val="both"/>
        <w:rPr>
          <w:rFonts w:ascii="Arial" w:hAnsi="Arial" w:cs="Arial"/>
          <w:snapToGrid w:val="0"/>
          <w:sz w:val="18"/>
          <w:szCs w:val="18"/>
          <w:lang w:val="es-MX"/>
        </w:rPr>
      </w:pPr>
      <w:r w:rsidRPr="00B327EB">
        <w:rPr>
          <w:rFonts w:ascii="Arial" w:eastAsia="Times New Roman" w:hAnsi="Arial" w:cs="Arial"/>
          <w:snapToGrid w:val="0"/>
          <w:sz w:val="18"/>
          <w:szCs w:val="18"/>
          <w:lang w:val="es-MX" w:eastAsia="es-ES"/>
        </w:rPr>
        <w:t>Los resultados de la medición de riesgos de mercado deben reportarse a la SFC con la periodicidad establecida en los formatos previstos para este propósito.</w:t>
      </w:r>
    </w:p>
    <w:sectPr w:rsidR="00AB2DEF" w:rsidRPr="00354640" w:rsidSect="00BB083D">
      <w:headerReference w:type="even" r:id="rId20"/>
      <w:headerReference w:type="default" r:id="rId21"/>
      <w:footerReference w:type="even" r:id="rId22"/>
      <w:footerReference w:type="default" r:id="rId23"/>
      <w:headerReference w:type="first" r:id="rId24"/>
      <w:footerReference w:type="first" r:id="rId25"/>
      <w:pgSz w:w="12242" w:h="18711" w:code="166"/>
      <w:pgMar w:top="1418" w:right="1701" w:bottom="1418" w:left="1701" w:header="1134" w:footer="1134" w:gutter="0"/>
      <w:pgBorders>
        <w:lef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00C7B" w14:textId="77777777" w:rsidR="005425F9" w:rsidRDefault="005425F9" w:rsidP="00AB2DEF">
      <w:pPr>
        <w:spacing w:after="0" w:line="240" w:lineRule="auto"/>
      </w:pPr>
      <w:r>
        <w:separator/>
      </w:r>
    </w:p>
  </w:endnote>
  <w:endnote w:type="continuationSeparator" w:id="0">
    <w:p w14:paraId="28FDDFF9" w14:textId="77777777" w:rsidR="005425F9" w:rsidRDefault="005425F9" w:rsidP="00AB2DEF">
      <w:pPr>
        <w:spacing w:after="0" w:line="240" w:lineRule="auto"/>
      </w:pPr>
      <w:r>
        <w:continuationSeparator/>
      </w:r>
    </w:p>
  </w:endnote>
  <w:endnote w:type="continuationNotice" w:id="1">
    <w:p w14:paraId="67320B94" w14:textId="77777777" w:rsidR="005425F9" w:rsidRDefault="005425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99CF6" w14:textId="77777777" w:rsidR="008F6E62" w:rsidRDefault="008F6E6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329F9" w14:textId="77777777" w:rsidR="00CC3E2A" w:rsidRDefault="00CC3E2A" w:rsidP="00CC43A5">
    <w:pPr>
      <w:spacing w:line="240" w:lineRule="auto"/>
      <w:ind w:right="-91"/>
      <w:jc w:val="both"/>
      <w:outlineLvl w:val="0"/>
      <w:rPr>
        <w:rStyle w:val="Nmerodepgina"/>
        <w:rFonts w:ascii="Arial" w:hAnsi="Arial" w:cs="Arial"/>
        <w:b/>
        <w:bCs/>
        <w:sz w:val="18"/>
        <w:szCs w:val="18"/>
      </w:rPr>
    </w:pPr>
  </w:p>
  <w:p w14:paraId="47203B9C" w14:textId="506E6344" w:rsidR="00CC3E2A" w:rsidRPr="00FC4A84" w:rsidRDefault="00CC3E2A" w:rsidP="00CC43A5">
    <w:pPr>
      <w:pStyle w:val="Piedepgina"/>
      <w:tabs>
        <w:tab w:val="right" w:pos="8789"/>
      </w:tabs>
      <w:ind w:right="-91"/>
      <w:rPr>
        <w:rFonts w:ascii="Arial" w:hAnsi="Arial" w:cs="Arial"/>
        <w:b/>
        <w:sz w:val="18"/>
        <w:szCs w:val="18"/>
        <w:lang w:val="pt-BR"/>
      </w:rPr>
    </w:pPr>
    <w:r w:rsidRPr="00FC4A84">
      <w:rPr>
        <w:rStyle w:val="Nmerodepgina"/>
        <w:rFonts w:ascii="Arial" w:hAnsi="Arial" w:cs="Arial"/>
        <w:b/>
        <w:bCs/>
        <w:sz w:val="18"/>
        <w:szCs w:val="18"/>
        <w:lang w:val="pt-BR"/>
      </w:rPr>
      <w:t xml:space="preserve">Circular Externa </w:t>
    </w:r>
    <w:r>
      <w:rPr>
        <w:rStyle w:val="Nmerodepgina"/>
        <w:rFonts w:ascii="Arial" w:hAnsi="Arial" w:cs="Arial"/>
        <w:b/>
        <w:bCs/>
        <w:sz w:val="18"/>
        <w:szCs w:val="18"/>
        <w:lang w:val="pt-BR"/>
      </w:rPr>
      <w:t xml:space="preserve"> </w:t>
    </w:r>
    <w:r w:rsidR="008F6E62">
      <w:rPr>
        <w:rStyle w:val="Nmerodepgina"/>
        <w:rFonts w:ascii="Arial" w:hAnsi="Arial" w:cs="Arial"/>
        <w:b/>
        <w:bCs/>
        <w:sz w:val="18"/>
        <w:szCs w:val="18"/>
        <w:lang w:val="pt-BR"/>
      </w:rPr>
      <w:t>018</w:t>
    </w:r>
    <w:r>
      <w:rPr>
        <w:rStyle w:val="Nmerodepgina"/>
        <w:rFonts w:ascii="Arial" w:hAnsi="Arial" w:cs="Arial"/>
        <w:b/>
        <w:bCs/>
        <w:sz w:val="18"/>
        <w:szCs w:val="18"/>
        <w:lang w:val="pt-BR"/>
      </w:rPr>
      <w:t xml:space="preserve">  </w:t>
    </w:r>
    <w:r w:rsidRPr="00FC4A84">
      <w:rPr>
        <w:rStyle w:val="Nmerodepgina"/>
        <w:rFonts w:ascii="Arial" w:hAnsi="Arial" w:cs="Arial"/>
        <w:b/>
        <w:bCs/>
        <w:sz w:val="18"/>
        <w:szCs w:val="18"/>
        <w:lang w:val="pt-BR"/>
      </w:rPr>
      <w:t>de 20</w:t>
    </w:r>
    <w:r>
      <w:rPr>
        <w:rStyle w:val="Nmerodepgina"/>
        <w:rFonts w:ascii="Arial" w:hAnsi="Arial" w:cs="Arial"/>
        <w:b/>
        <w:bCs/>
        <w:sz w:val="18"/>
        <w:szCs w:val="18"/>
        <w:lang w:val="pt-BR"/>
      </w:rPr>
      <w:t>21</w:t>
    </w:r>
    <w:r w:rsidRPr="00FC4A84">
      <w:rPr>
        <w:rStyle w:val="Nmerodepgina"/>
        <w:rFonts w:ascii="Arial" w:hAnsi="Arial" w:cs="Arial"/>
        <w:b/>
        <w:bCs/>
        <w:sz w:val="18"/>
        <w:szCs w:val="18"/>
        <w:lang w:val="pt-BR"/>
      </w:rPr>
      <w:tab/>
    </w:r>
    <w:r w:rsidRPr="00FC4A84">
      <w:rPr>
        <w:rStyle w:val="Nmerodepgina"/>
        <w:rFonts w:ascii="Arial" w:hAnsi="Arial" w:cs="Arial"/>
        <w:b/>
        <w:sz w:val="18"/>
        <w:szCs w:val="18"/>
        <w:lang w:val="pt-BR"/>
      </w:rPr>
      <w:t xml:space="preserve"> </w:t>
    </w:r>
    <w:r>
      <w:rPr>
        <w:rStyle w:val="Nmerodepgina"/>
        <w:rFonts w:ascii="Arial" w:hAnsi="Arial" w:cs="Arial"/>
        <w:b/>
        <w:bCs/>
        <w:sz w:val="18"/>
        <w:szCs w:val="18"/>
        <w:lang w:val="pt-BR"/>
      </w:rPr>
      <w:tab/>
      <w:t xml:space="preserve">           </w:t>
    </w:r>
    <w:r w:rsidR="00E05703">
      <w:rPr>
        <w:rStyle w:val="Nmerodepgina"/>
        <w:rFonts w:ascii="Arial" w:hAnsi="Arial" w:cs="Arial"/>
        <w:b/>
        <w:bCs/>
        <w:sz w:val="18"/>
        <w:szCs w:val="18"/>
        <w:lang w:val="pt-BR"/>
      </w:rPr>
      <w:t>Septiembre</w:t>
    </w:r>
    <w:r w:rsidRPr="00FC4A84">
      <w:rPr>
        <w:rStyle w:val="Nmerodepgina"/>
        <w:rFonts w:ascii="Arial" w:hAnsi="Arial" w:cs="Arial"/>
        <w:b/>
        <w:bCs/>
        <w:sz w:val="18"/>
        <w:szCs w:val="18"/>
        <w:lang w:val="pt-BR"/>
      </w:rPr>
      <w:t xml:space="preserve"> de </w:t>
    </w:r>
    <w:r>
      <w:rPr>
        <w:rStyle w:val="Nmerodepgina"/>
        <w:rFonts w:ascii="Arial" w:hAnsi="Arial" w:cs="Arial"/>
        <w:b/>
        <w:bCs/>
        <w:sz w:val="18"/>
        <w:szCs w:val="18"/>
        <w:lang w:val="pt-BR"/>
      </w:rPr>
      <w:t>2021</w:t>
    </w:r>
  </w:p>
  <w:p w14:paraId="3A9BA996" w14:textId="77777777" w:rsidR="00CC3E2A" w:rsidRPr="00CC43A5" w:rsidRDefault="00CC3E2A">
    <w:pPr>
      <w:pStyle w:val="Piedepgina"/>
      <w:rPr>
        <w:lang w:val="pt-B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300BA" w14:textId="77777777" w:rsidR="008F6E62" w:rsidRDefault="008F6E6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4F7CE" w14:textId="77777777" w:rsidR="005425F9" w:rsidRDefault="005425F9" w:rsidP="00AB2DEF">
      <w:pPr>
        <w:spacing w:after="0" w:line="240" w:lineRule="auto"/>
      </w:pPr>
      <w:r>
        <w:separator/>
      </w:r>
    </w:p>
  </w:footnote>
  <w:footnote w:type="continuationSeparator" w:id="0">
    <w:p w14:paraId="739A1EC0" w14:textId="77777777" w:rsidR="005425F9" w:rsidRDefault="005425F9" w:rsidP="00AB2DEF">
      <w:pPr>
        <w:spacing w:after="0" w:line="240" w:lineRule="auto"/>
      </w:pPr>
      <w:r>
        <w:continuationSeparator/>
      </w:r>
    </w:p>
  </w:footnote>
  <w:footnote w:type="continuationNotice" w:id="1">
    <w:p w14:paraId="1B647A26" w14:textId="77777777" w:rsidR="005425F9" w:rsidRDefault="005425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CB5BE" w14:textId="77777777" w:rsidR="008F6E62" w:rsidRDefault="008F6E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8EE7" w14:textId="77777777" w:rsidR="00CC3E2A" w:rsidRDefault="00CC3E2A" w:rsidP="002824B6">
    <w:pPr>
      <w:pStyle w:val="Ttulo"/>
      <w:rPr>
        <w:rFonts w:cs="Arial"/>
        <w:b w:val="0"/>
        <w:sz w:val="24"/>
        <w:szCs w:val="24"/>
      </w:rPr>
    </w:pPr>
    <w:r w:rsidRPr="000A50F3">
      <w:rPr>
        <w:rFonts w:cs="Arial"/>
        <w:sz w:val="24"/>
        <w:szCs w:val="24"/>
      </w:rPr>
      <w:t>SUPERINTENDENCIA FINANCIERA DE COLOMBIA</w:t>
    </w:r>
  </w:p>
  <w:p w14:paraId="1ECAF2DC" w14:textId="77777777" w:rsidR="00CC3E2A" w:rsidRDefault="00CC3E2A" w:rsidP="002824B6">
    <w:pPr>
      <w:pStyle w:val="Encabezado"/>
      <w:ind w:right="-21"/>
      <w:rPr>
        <w:rFonts w:ascii="Arial" w:hAnsi="Arial"/>
        <w:b/>
        <w:sz w:val="18"/>
      </w:rPr>
    </w:pPr>
  </w:p>
  <w:p w14:paraId="6AD3AB93" w14:textId="0DA9F3F2" w:rsidR="00CC3E2A" w:rsidRDefault="00CC3E2A" w:rsidP="002824B6">
    <w:pPr>
      <w:pStyle w:val="Encabezado"/>
      <w:ind w:right="-21"/>
      <w:rPr>
        <w:rFonts w:ascii="Arial" w:hAnsi="Arial"/>
        <w:b/>
        <w:sz w:val="18"/>
      </w:rPr>
    </w:pPr>
    <w:r>
      <w:rPr>
        <w:rFonts w:ascii="Arial" w:hAnsi="Arial"/>
        <w:b/>
        <w:sz w:val="18"/>
      </w:rPr>
      <w:t>CAPÍTULO XXXI SISTEMA INTEGRAL DE ADMINISTRACIÓN DE RIESGOS</w:t>
    </w:r>
    <w:r w:rsidR="001217B3">
      <w:rPr>
        <w:rFonts w:ascii="Arial" w:hAnsi="Arial"/>
        <w:b/>
        <w:sz w:val="18"/>
      </w:rPr>
      <w:t xml:space="preserve"> (SIAR)</w:t>
    </w:r>
  </w:p>
  <w:p w14:paraId="556A1572" w14:textId="77777777" w:rsidR="00CC3E2A" w:rsidRDefault="00CC3E2A" w:rsidP="002824B6">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w:t>
    </w:r>
    <w:r w:rsidRPr="001A3E3E">
      <w:rPr>
        <w:rFonts w:ascii="Arial (W1)" w:hAnsi="Arial (W1)"/>
        <w:b/>
        <w:sz w:val="18"/>
        <w:szCs w:val="18"/>
      </w:rPr>
      <w:fldChar w:fldCharType="begin"/>
    </w:r>
    <w:r w:rsidRPr="001A3E3E">
      <w:rPr>
        <w:rFonts w:ascii="Arial (W1)" w:hAnsi="Arial (W1)"/>
        <w:b/>
        <w:sz w:val="18"/>
        <w:szCs w:val="18"/>
      </w:rPr>
      <w:instrText>PAGE   \* MERGEFORMAT</w:instrText>
    </w:r>
    <w:r w:rsidRPr="001A3E3E">
      <w:rPr>
        <w:rFonts w:ascii="Arial (W1)" w:hAnsi="Arial (W1)"/>
        <w:b/>
        <w:sz w:val="18"/>
        <w:szCs w:val="18"/>
      </w:rPr>
      <w:fldChar w:fldCharType="separate"/>
    </w:r>
    <w:r>
      <w:rPr>
        <w:rFonts w:ascii="Arial (W1)" w:hAnsi="Arial (W1)"/>
        <w:b/>
        <w:noProof/>
        <w:sz w:val="18"/>
        <w:szCs w:val="18"/>
      </w:rPr>
      <w:t>12</w:t>
    </w:r>
    <w:r w:rsidRPr="001A3E3E">
      <w:rPr>
        <w:rFonts w:ascii="Arial (W1)" w:hAnsi="Arial (W1)"/>
        <w:b/>
        <w:sz w:val="18"/>
        <w:szCs w:val="18"/>
      </w:rPr>
      <w:fldChar w:fldCharType="end"/>
    </w:r>
  </w:p>
  <w:p w14:paraId="61C597BF" w14:textId="77777777" w:rsidR="00CC3E2A" w:rsidRDefault="00CC3E2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3FD2" w14:textId="77777777" w:rsidR="008F6E62" w:rsidRDefault="008F6E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6CBD"/>
    <w:multiLevelType w:val="hybridMultilevel"/>
    <w:tmpl w:val="0B3C4EF8"/>
    <w:lvl w:ilvl="0" w:tplc="A6FE0BA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A02569"/>
    <w:multiLevelType w:val="hybridMultilevel"/>
    <w:tmpl w:val="0C985F20"/>
    <w:lvl w:ilvl="0" w:tplc="2C44A9D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F542C41"/>
    <w:multiLevelType w:val="hybridMultilevel"/>
    <w:tmpl w:val="D9A2A7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0942379"/>
    <w:multiLevelType w:val="hybridMultilevel"/>
    <w:tmpl w:val="956E2BC0"/>
    <w:lvl w:ilvl="0" w:tplc="076633A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8B690D"/>
    <w:multiLevelType w:val="hybridMultilevel"/>
    <w:tmpl w:val="F7EA8528"/>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44B45AD"/>
    <w:multiLevelType w:val="hybridMultilevel"/>
    <w:tmpl w:val="26F25776"/>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B287893"/>
    <w:multiLevelType w:val="hybridMultilevel"/>
    <w:tmpl w:val="98626A2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FD27A8F"/>
    <w:multiLevelType w:val="hybridMultilevel"/>
    <w:tmpl w:val="C9C05AF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42C629E"/>
    <w:multiLevelType w:val="hybridMultilevel"/>
    <w:tmpl w:val="0C985F20"/>
    <w:lvl w:ilvl="0" w:tplc="2C44A9DC">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5642EBD"/>
    <w:multiLevelType w:val="hybridMultilevel"/>
    <w:tmpl w:val="9C142DDE"/>
    <w:lvl w:ilvl="0" w:tplc="F23ED42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D9207F9"/>
    <w:multiLevelType w:val="hybridMultilevel"/>
    <w:tmpl w:val="287EAFF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7E90769"/>
    <w:multiLevelType w:val="hybridMultilevel"/>
    <w:tmpl w:val="AF2A672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B391FA8"/>
    <w:multiLevelType w:val="hybridMultilevel"/>
    <w:tmpl w:val="C46AAAD2"/>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C466F9F"/>
    <w:multiLevelType w:val="hybridMultilevel"/>
    <w:tmpl w:val="6A6C49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7B1C2F"/>
    <w:multiLevelType w:val="hybridMultilevel"/>
    <w:tmpl w:val="3888194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1D31E8"/>
    <w:multiLevelType w:val="hybridMultilevel"/>
    <w:tmpl w:val="F67A3D3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820060F"/>
    <w:multiLevelType w:val="hybridMultilevel"/>
    <w:tmpl w:val="413E3F14"/>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9846D5A"/>
    <w:multiLevelType w:val="hybridMultilevel"/>
    <w:tmpl w:val="2F54373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9A30369"/>
    <w:multiLevelType w:val="hybridMultilevel"/>
    <w:tmpl w:val="031C9DC4"/>
    <w:lvl w:ilvl="0" w:tplc="240A001B">
      <w:start w:val="1"/>
      <w:numFmt w:val="lowerRoman"/>
      <w:lvlText w:val="%1."/>
      <w:lvlJc w:val="right"/>
      <w:pPr>
        <w:ind w:left="540" w:hanging="360"/>
      </w:pPr>
    </w:lvl>
    <w:lvl w:ilvl="1" w:tplc="240A0019" w:tentative="1">
      <w:start w:val="1"/>
      <w:numFmt w:val="lowerLetter"/>
      <w:lvlText w:val="%2."/>
      <w:lvlJc w:val="left"/>
      <w:pPr>
        <w:ind w:left="1260" w:hanging="360"/>
      </w:pPr>
    </w:lvl>
    <w:lvl w:ilvl="2" w:tplc="240A001B" w:tentative="1">
      <w:start w:val="1"/>
      <w:numFmt w:val="lowerRoman"/>
      <w:lvlText w:val="%3."/>
      <w:lvlJc w:val="right"/>
      <w:pPr>
        <w:ind w:left="1980" w:hanging="180"/>
      </w:pPr>
    </w:lvl>
    <w:lvl w:ilvl="3" w:tplc="240A000F" w:tentative="1">
      <w:start w:val="1"/>
      <w:numFmt w:val="decimal"/>
      <w:lvlText w:val="%4."/>
      <w:lvlJc w:val="left"/>
      <w:pPr>
        <w:ind w:left="2700" w:hanging="360"/>
      </w:pPr>
    </w:lvl>
    <w:lvl w:ilvl="4" w:tplc="240A0019" w:tentative="1">
      <w:start w:val="1"/>
      <w:numFmt w:val="lowerLetter"/>
      <w:lvlText w:val="%5."/>
      <w:lvlJc w:val="left"/>
      <w:pPr>
        <w:ind w:left="3420" w:hanging="360"/>
      </w:pPr>
    </w:lvl>
    <w:lvl w:ilvl="5" w:tplc="240A001B" w:tentative="1">
      <w:start w:val="1"/>
      <w:numFmt w:val="lowerRoman"/>
      <w:lvlText w:val="%6."/>
      <w:lvlJc w:val="right"/>
      <w:pPr>
        <w:ind w:left="4140" w:hanging="180"/>
      </w:pPr>
    </w:lvl>
    <w:lvl w:ilvl="6" w:tplc="240A000F" w:tentative="1">
      <w:start w:val="1"/>
      <w:numFmt w:val="decimal"/>
      <w:lvlText w:val="%7."/>
      <w:lvlJc w:val="left"/>
      <w:pPr>
        <w:ind w:left="4860" w:hanging="360"/>
      </w:pPr>
    </w:lvl>
    <w:lvl w:ilvl="7" w:tplc="240A0019" w:tentative="1">
      <w:start w:val="1"/>
      <w:numFmt w:val="lowerLetter"/>
      <w:lvlText w:val="%8."/>
      <w:lvlJc w:val="left"/>
      <w:pPr>
        <w:ind w:left="5580" w:hanging="360"/>
      </w:pPr>
    </w:lvl>
    <w:lvl w:ilvl="8" w:tplc="240A001B" w:tentative="1">
      <w:start w:val="1"/>
      <w:numFmt w:val="lowerRoman"/>
      <w:lvlText w:val="%9."/>
      <w:lvlJc w:val="right"/>
      <w:pPr>
        <w:ind w:left="6300" w:hanging="180"/>
      </w:pPr>
    </w:lvl>
  </w:abstractNum>
  <w:abstractNum w:abstractNumId="19" w15:restartNumberingAfterBreak="0">
    <w:nsid w:val="67810D7C"/>
    <w:multiLevelType w:val="multilevel"/>
    <w:tmpl w:val="1EC006B2"/>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6BA727F0"/>
    <w:multiLevelType w:val="hybridMultilevel"/>
    <w:tmpl w:val="861C861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13E1FC6"/>
    <w:multiLevelType w:val="hybridMultilevel"/>
    <w:tmpl w:val="43CA1D40"/>
    <w:lvl w:ilvl="0" w:tplc="E9448D9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3165EC0"/>
    <w:multiLevelType w:val="hybridMultilevel"/>
    <w:tmpl w:val="D5F4807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4C0477C"/>
    <w:multiLevelType w:val="hybridMultilevel"/>
    <w:tmpl w:val="5EBEFC74"/>
    <w:lvl w:ilvl="0" w:tplc="B90EDD4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68E7ABA"/>
    <w:multiLevelType w:val="hybridMultilevel"/>
    <w:tmpl w:val="18CCCD5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6E44903"/>
    <w:multiLevelType w:val="hybridMultilevel"/>
    <w:tmpl w:val="CECA950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7E2674C"/>
    <w:multiLevelType w:val="hybridMultilevel"/>
    <w:tmpl w:val="796E07D4"/>
    <w:lvl w:ilvl="0" w:tplc="745EC6D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C8B37A0"/>
    <w:multiLevelType w:val="hybridMultilevel"/>
    <w:tmpl w:val="6BEA47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E375A14"/>
    <w:multiLevelType w:val="hybridMultilevel"/>
    <w:tmpl w:val="BB6EDAB4"/>
    <w:lvl w:ilvl="0" w:tplc="546E6870">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9" w15:restartNumberingAfterBreak="0">
    <w:nsid w:val="7F0D7016"/>
    <w:multiLevelType w:val="hybridMultilevel"/>
    <w:tmpl w:val="BB6EDAB4"/>
    <w:lvl w:ilvl="0" w:tplc="546E687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F2F0E1A"/>
    <w:multiLevelType w:val="hybridMultilevel"/>
    <w:tmpl w:val="5E626224"/>
    <w:lvl w:ilvl="0" w:tplc="0C0A001B">
      <w:start w:val="1"/>
      <w:numFmt w:val="lowerRoman"/>
      <w:lvlText w:val="%1."/>
      <w:lvlJc w:val="right"/>
      <w:pPr>
        <w:ind w:left="1080" w:hanging="72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9"/>
  </w:num>
  <w:num w:numId="2">
    <w:abstractNumId w:val="13"/>
  </w:num>
  <w:num w:numId="3">
    <w:abstractNumId w:val="23"/>
  </w:num>
  <w:num w:numId="4">
    <w:abstractNumId w:val="21"/>
  </w:num>
  <w:num w:numId="5">
    <w:abstractNumId w:val="30"/>
  </w:num>
  <w:num w:numId="6">
    <w:abstractNumId w:val="29"/>
  </w:num>
  <w:num w:numId="7">
    <w:abstractNumId w:val="4"/>
  </w:num>
  <w:num w:numId="8">
    <w:abstractNumId w:val="16"/>
  </w:num>
  <w:num w:numId="9">
    <w:abstractNumId w:val="24"/>
  </w:num>
  <w:num w:numId="10">
    <w:abstractNumId w:val="12"/>
  </w:num>
  <w:num w:numId="11">
    <w:abstractNumId w:val="6"/>
  </w:num>
  <w:num w:numId="12">
    <w:abstractNumId w:val="25"/>
  </w:num>
  <w:num w:numId="13">
    <w:abstractNumId w:val="5"/>
  </w:num>
  <w:num w:numId="14">
    <w:abstractNumId w:val="10"/>
  </w:num>
  <w:num w:numId="15">
    <w:abstractNumId w:val="26"/>
  </w:num>
  <w:num w:numId="16">
    <w:abstractNumId w:val="1"/>
  </w:num>
  <w:num w:numId="17">
    <w:abstractNumId w:val="9"/>
  </w:num>
  <w:num w:numId="18">
    <w:abstractNumId w:val="3"/>
  </w:num>
  <w:num w:numId="19">
    <w:abstractNumId w:val="0"/>
  </w:num>
  <w:num w:numId="20">
    <w:abstractNumId w:val="28"/>
  </w:num>
  <w:num w:numId="21">
    <w:abstractNumId w:val="8"/>
  </w:num>
  <w:num w:numId="22">
    <w:abstractNumId w:val="11"/>
  </w:num>
  <w:num w:numId="23">
    <w:abstractNumId w:val="2"/>
  </w:num>
  <w:num w:numId="24">
    <w:abstractNumId w:val="27"/>
  </w:num>
  <w:num w:numId="25">
    <w:abstractNumId w:val="7"/>
  </w:num>
  <w:num w:numId="26">
    <w:abstractNumId w:val="20"/>
  </w:num>
  <w:num w:numId="27">
    <w:abstractNumId w:val="14"/>
  </w:num>
  <w:num w:numId="28">
    <w:abstractNumId w:val="17"/>
  </w:num>
  <w:num w:numId="29">
    <w:abstractNumId w:val="18"/>
  </w:num>
  <w:num w:numId="30">
    <w:abstractNumId w:val="22"/>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6"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activeWritingStyle w:appName="MSWord" w:lang="es-MX" w:vendorID="64" w:dllVersion="0" w:nlCheck="1" w:checkStyle="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2DEF"/>
    <w:rsid w:val="00007C2B"/>
    <w:rsid w:val="00024B3C"/>
    <w:rsid w:val="00045CCC"/>
    <w:rsid w:val="00054438"/>
    <w:rsid w:val="00067851"/>
    <w:rsid w:val="00082BCB"/>
    <w:rsid w:val="000B6E59"/>
    <w:rsid w:val="000D3347"/>
    <w:rsid w:val="001217B3"/>
    <w:rsid w:val="0013150F"/>
    <w:rsid w:val="00133352"/>
    <w:rsid w:val="00144E92"/>
    <w:rsid w:val="001661A8"/>
    <w:rsid w:val="001776AC"/>
    <w:rsid w:val="00181F07"/>
    <w:rsid w:val="00185E0A"/>
    <w:rsid w:val="00194087"/>
    <w:rsid w:val="001A2602"/>
    <w:rsid w:val="001A48A9"/>
    <w:rsid w:val="001C65F4"/>
    <w:rsid w:val="001C7EC2"/>
    <w:rsid w:val="001D1231"/>
    <w:rsid w:val="001D6435"/>
    <w:rsid w:val="001D743D"/>
    <w:rsid w:val="001D78FD"/>
    <w:rsid w:val="001F23B7"/>
    <w:rsid w:val="00202E71"/>
    <w:rsid w:val="00203BEE"/>
    <w:rsid w:val="00207FD3"/>
    <w:rsid w:val="002220F5"/>
    <w:rsid w:val="002251E5"/>
    <w:rsid w:val="00231709"/>
    <w:rsid w:val="0025021A"/>
    <w:rsid w:val="00255002"/>
    <w:rsid w:val="00261664"/>
    <w:rsid w:val="002622D3"/>
    <w:rsid w:val="00275356"/>
    <w:rsid w:val="002753DD"/>
    <w:rsid w:val="002824B6"/>
    <w:rsid w:val="00292E98"/>
    <w:rsid w:val="0029574E"/>
    <w:rsid w:val="002A42EA"/>
    <w:rsid w:val="002C27B2"/>
    <w:rsid w:val="002D7A53"/>
    <w:rsid w:val="002E4782"/>
    <w:rsid w:val="002E7AF1"/>
    <w:rsid w:val="003130D8"/>
    <w:rsid w:val="00321643"/>
    <w:rsid w:val="00330A40"/>
    <w:rsid w:val="003318B3"/>
    <w:rsid w:val="0035183A"/>
    <w:rsid w:val="00354640"/>
    <w:rsid w:val="0035528C"/>
    <w:rsid w:val="003658CB"/>
    <w:rsid w:val="00366553"/>
    <w:rsid w:val="003806E8"/>
    <w:rsid w:val="00385513"/>
    <w:rsid w:val="00396A7C"/>
    <w:rsid w:val="0039729E"/>
    <w:rsid w:val="003A51B5"/>
    <w:rsid w:val="003B479F"/>
    <w:rsid w:val="003B73C0"/>
    <w:rsid w:val="003E2CAB"/>
    <w:rsid w:val="003E7656"/>
    <w:rsid w:val="003F7639"/>
    <w:rsid w:val="0040022A"/>
    <w:rsid w:val="00421395"/>
    <w:rsid w:val="004326C5"/>
    <w:rsid w:val="0047212C"/>
    <w:rsid w:val="00486770"/>
    <w:rsid w:val="004B55FF"/>
    <w:rsid w:val="004C7F9E"/>
    <w:rsid w:val="004D14B8"/>
    <w:rsid w:val="004D19AB"/>
    <w:rsid w:val="004D1FC4"/>
    <w:rsid w:val="004F29BD"/>
    <w:rsid w:val="00501F57"/>
    <w:rsid w:val="00517C67"/>
    <w:rsid w:val="00527462"/>
    <w:rsid w:val="005425F9"/>
    <w:rsid w:val="00563C00"/>
    <w:rsid w:val="00575987"/>
    <w:rsid w:val="0058266D"/>
    <w:rsid w:val="005929E2"/>
    <w:rsid w:val="00594C85"/>
    <w:rsid w:val="005B0829"/>
    <w:rsid w:val="005C2F4A"/>
    <w:rsid w:val="00600E42"/>
    <w:rsid w:val="00623BC0"/>
    <w:rsid w:val="00631DF7"/>
    <w:rsid w:val="00633898"/>
    <w:rsid w:val="00637520"/>
    <w:rsid w:val="006648DD"/>
    <w:rsid w:val="00667DB6"/>
    <w:rsid w:val="00694303"/>
    <w:rsid w:val="00694B7B"/>
    <w:rsid w:val="006A0B2B"/>
    <w:rsid w:val="006A6E7B"/>
    <w:rsid w:val="006B70C6"/>
    <w:rsid w:val="006C25A4"/>
    <w:rsid w:val="006D58B4"/>
    <w:rsid w:val="006E6F61"/>
    <w:rsid w:val="00704750"/>
    <w:rsid w:val="0072332B"/>
    <w:rsid w:val="00726FCB"/>
    <w:rsid w:val="00742A15"/>
    <w:rsid w:val="00745285"/>
    <w:rsid w:val="007A2338"/>
    <w:rsid w:val="007B04AC"/>
    <w:rsid w:val="007B0AF8"/>
    <w:rsid w:val="00805E9C"/>
    <w:rsid w:val="00812B37"/>
    <w:rsid w:val="00823C5F"/>
    <w:rsid w:val="0083206C"/>
    <w:rsid w:val="008367C3"/>
    <w:rsid w:val="008568AE"/>
    <w:rsid w:val="00885E5D"/>
    <w:rsid w:val="008913AF"/>
    <w:rsid w:val="0089479E"/>
    <w:rsid w:val="00895316"/>
    <w:rsid w:val="00897642"/>
    <w:rsid w:val="008A1F5F"/>
    <w:rsid w:val="008B0E60"/>
    <w:rsid w:val="008C01A4"/>
    <w:rsid w:val="008C0324"/>
    <w:rsid w:val="008C41DD"/>
    <w:rsid w:val="008D5278"/>
    <w:rsid w:val="008F3EB2"/>
    <w:rsid w:val="008F6E62"/>
    <w:rsid w:val="008F7AA2"/>
    <w:rsid w:val="00900645"/>
    <w:rsid w:val="00903E18"/>
    <w:rsid w:val="00927930"/>
    <w:rsid w:val="009474E6"/>
    <w:rsid w:val="00950D76"/>
    <w:rsid w:val="0097790D"/>
    <w:rsid w:val="0098350F"/>
    <w:rsid w:val="00987DE7"/>
    <w:rsid w:val="009959B0"/>
    <w:rsid w:val="009A0A72"/>
    <w:rsid w:val="009A2B61"/>
    <w:rsid w:val="009B4ED6"/>
    <w:rsid w:val="009C368C"/>
    <w:rsid w:val="009C7223"/>
    <w:rsid w:val="009D36D2"/>
    <w:rsid w:val="009E5A1C"/>
    <w:rsid w:val="009F43CF"/>
    <w:rsid w:val="00A00111"/>
    <w:rsid w:val="00A03074"/>
    <w:rsid w:val="00A122BA"/>
    <w:rsid w:val="00A15F54"/>
    <w:rsid w:val="00A24961"/>
    <w:rsid w:val="00A27820"/>
    <w:rsid w:val="00A55A13"/>
    <w:rsid w:val="00A617D6"/>
    <w:rsid w:val="00A7750E"/>
    <w:rsid w:val="00A9072A"/>
    <w:rsid w:val="00AB17F4"/>
    <w:rsid w:val="00AB2DEF"/>
    <w:rsid w:val="00AB7F1D"/>
    <w:rsid w:val="00AD0144"/>
    <w:rsid w:val="00B11FF3"/>
    <w:rsid w:val="00B23826"/>
    <w:rsid w:val="00B327EB"/>
    <w:rsid w:val="00B33F7B"/>
    <w:rsid w:val="00B52137"/>
    <w:rsid w:val="00B77CC0"/>
    <w:rsid w:val="00B82CED"/>
    <w:rsid w:val="00B8333F"/>
    <w:rsid w:val="00B84BD9"/>
    <w:rsid w:val="00B928D3"/>
    <w:rsid w:val="00BA5377"/>
    <w:rsid w:val="00BA6D1C"/>
    <w:rsid w:val="00BB083D"/>
    <w:rsid w:val="00BC658B"/>
    <w:rsid w:val="00BC671C"/>
    <w:rsid w:val="00BE03A3"/>
    <w:rsid w:val="00BF0925"/>
    <w:rsid w:val="00C11425"/>
    <w:rsid w:val="00C21A96"/>
    <w:rsid w:val="00C47E04"/>
    <w:rsid w:val="00C551E5"/>
    <w:rsid w:val="00C63838"/>
    <w:rsid w:val="00C66C15"/>
    <w:rsid w:val="00C71844"/>
    <w:rsid w:val="00C73F50"/>
    <w:rsid w:val="00C8088D"/>
    <w:rsid w:val="00C8537D"/>
    <w:rsid w:val="00C858B4"/>
    <w:rsid w:val="00C93912"/>
    <w:rsid w:val="00CC3E2A"/>
    <w:rsid w:val="00CC43A5"/>
    <w:rsid w:val="00CE2260"/>
    <w:rsid w:val="00CE2B9B"/>
    <w:rsid w:val="00CE56DB"/>
    <w:rsid w:val="00D10919"/>
    <w:rsid w:val="00D14B57"/>
    <w:rsid w:val="00D15DCF"/>
    <w:rsid w:val="00D45F0C"/>
    <w:rsid w:val="00D5447E"/>
    <w:rsid w:val="00D60341"/>
    <w:rsid w:val="00DA77C8"/>
    <w:rsid w:val="00DC1153"/>
    <w:rsid w:val="00DC4918"/>
    <w:rsid w:val="00DD096B"/>
    <w:rsid w:val="00DF07B3"/>
    <w:rsid w:val="00DF2B76"/>
    <w:rsid w:val="00E05703"/>
    <w:rsid w:val="00E27DE3"/>
    <w:rsid w:val="00E33B70"/>
    <w:rsid w:val="00E6245C"/>
    <w:rsid w:val="00E80AFD"/>
    <w:rsid w:val="00E81230"/>
    <w:rsid w:val="00E812B1"/>
    <w:rsid w:val="00E852B2"/>
    <w:rsid w:val="00E873C8"/>
    <w:rsid w:val="00E93F7C"/>
    <w:rsid w:val="00EB2357"/>
    <w:rsid w:val="00ED5E74"/>
    <w:rsid w:val="00EE4FAC"/>
    <w:rsid w:val="00EF5FFC"/>
    <w:rsid w:val="00F05134"/>
    <w:rsid w:val="00F07CFF"/>
    <w:rsid w:val="00F264D1"/>
    <w:rsid w:val="00F320C1"/>
    <w:rsid w:val="00F36D7C"/>
    <w:rsid w:val="00F4492D"/>
    <w:rsid w:val="00F84982"/>
    <w:rsid w:val="00F86B33"/>
    <w:rsid w:val="00F9040A"/>
    <w:rsid w:val="00F97AB9"/>
    <w:rsid w:val="00FA187B"/>
    <w:rsid w:val="00FE2A9A"/>
    <w:rsid w:val="00FF1589"/>
    <w:rsid w:val="00FF3021"/>
    <w:rsid w:val="00FF738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B1E4A7B"/>
  <w15:docId w15:val="{73AFE70C-49F6-4D19-9B0E-41CC21AF9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B2DEF"/>
    <w:pPr>
      <w:tabs>
        <w:tab w:val="center" w:pos="4419"/>
        <w:tab w:val="right" w:pos="8838"/>
      </w:tabs>
      <w:spacing w:after="0" w:line="240" w:lineRule="auto"/>
    </w:pPr>
  </w:style>
  <w:style w:type="character" w:customStyle="1" w:styleId="EncabezadoCar">
    <w:name w:val="Encabezado Car"/>
    <w:basedOn w:val="Fuentedeprrafopredeter"/>
    <w:link w:val="Encabezado"/>
    <w:rsid w:val="00AB2DEF"/>
  </w:style>
  <w:style w:type="paragraph" w:styleId="Piedepgina">
    <w:name w:val="footer"/>
    <w:basedOn w:val="Normal"/>
    <w:link w:val="PiedepginaCar"/>
    <w:unhideWhenUsed/>
    <w:rsid w:val="00AB2DE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2DEF"/>
  </w:style>
  <w:style w:type="paragraph" w:styleId="Ttulo">
    <w:name w:val="Title"/>
    <w:basedOn w:val="Normal"/>
    <w:link w:val="TtuloCar"/>
    <w:qFormat/>
    <w:rsid w:val="002824B6"/>
    <w:pPr>
      <w:spacing w:after="0" w:line="240" w:lineRule="auto"/>
      <w:jc w:val="center"/>
      <w:outlineLvl w:val="0"/>
    </w:pPr>
    <w:rPr>
      <w:rFonts w:ascii="Arial" w:eastAsia="Times New Roman" w:hAnsi="Arial" w:cs="Times New Roman"/>
      <w:b/>
      <w:bCs/>
      <w:lang w:val="es-MX" w:eastAsia="es-ES"/>
    </w:rPr>
  </w:style>
  <w:style w:type="character" w:customStyle="1" w:styleId="TtuloCar">
    <w:name w:val="Título Car"/>
    <w:basedOn w:val="Fuentedeprrafopredeter"/>
    <w:link w:val="Ttulo"/>
    <w:rsid w:val="002824B6"/>
    <w:rPr>
      <w:rFonts w:ascii="Arial" w:eastAsia="Times New Roman" w:hAnsi="Arial" w:cs="Times New Roman"/>
      <w:b/>
      <w:bCs/>
      <w:lang w:val="es-MX" w:eastAsia="es-ES"/>
    </w:rPr>
  </w:style>
  <w:style w:type="character" w:styleId="Nmerodepgina">
    <w:name w:val="page number"/>
    <w:basedOn w:val="Fuentedeprrafopredeter"/>
    <w:rsid w:val="00CC43A5"/>
  </w:style>
  <w:style w:type="paragraph" w:styleId="Prrafodelista">
    <w:name w:val="List Paragraph"/>
    <w:basedOn w:val="Normal"/>
    <w:uiPriority w:val="34"/>
    <w:qFormat/>
    <w:rsid w:val="00DF2B76"/>
    <w:pPr>
      <w:ind w:left="720"/>
      <w:contextualSpacing/>
    </w:pPr>
  </w:style>
  <w:style w:type="paragraph" w:styleId="Textodeglobo">
    <w:name w:val="Balloon Text"/>
    <w:basedOn w:val="Normal"/>
    <w:link w:val="TextodegloboCar"/>
    <w:uiPriority w:val="99"/>
    <w:semiHidden/>
    <w:unhideWhenUsed/>
    <w:rsid w:val="00DF2B7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F2B76"/>
    <w:rPr>
      <w:rFonts w:ascii="Tahoma" w:hAnsi="Tahoma" w:cs="Tahoma"/>
      <w:sz w:val="16"/>
      <w:szCs w:val="16"/>
    </w:rPr>
  </w:style>
  <w:style w:type="character" w:styleId="Refdecomentario">
    <w:name w:val="annotation reference"/>
    <w:basedOn w:val="Fuentedeprrafopredeter"/>
    <w:uiPriority w:val="99"/>
    <w:semiHidden/>
    <w:unhideWhenUsed/>
    <w:rsid w:val="004B55FF"/>
    <w:rPr>
      <w:sz w:val="16"/>
      <w:szCs w:val="16"/>
    </w:rPr>
  </w:style>
  <w:style w:type="paragraph" w:styleId="Textocomentario">
    <w:name w:val="annotation text"/>
    <w:basedOn w:val="Normal"/>
    <w:link w:val="TextocomentarioCar"/>
    <w:uiPriority w:val="99"/>
    <w:semiHidden/>
    <w:unhideWhenUsed/>
    <w:rsid w:val="004B55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B55FF"/>
    <w:rPr>
      <w:sz w:val="20"/>
      <w:szCs w:val="20"/>
    </w:rPr>
  </w:style>
  <w:style w:type="paragraph" w:styleId="Asuntodelcomentario">
    <w:name w:val="annotation subject"/>
    <w:basedOn w:val="Textocomentario"/>
    <w:next w:val="Textocomentario"/>
    <w:link w:val="AsuntodelcomentarioCar"/>
    <w:uiPriority w:val="99"/>
    <w:semiHidden/>
    <w:unhideWhenUsed/>
    <w:rsid w:val="004B55FF"/>
    <w:rPr>
      <w:b/>
      <w:bCs/>
    </w:rPr>
  </w:style>
  <w:style w:type="character" w:customStyle="1" w:styleId="AsuntodelcomentarioCar">
    <w:name w:val="Asunto del comentario Car"/>
    <w:basedOn w:val="TextocomentarioCar"/>
    <w:link w:val="Asuntodelcomentario"/>
    <w:uiPriority w:val="99"/>
    <w:semiHidden/>
    <w:rsid w:val="004B55FF"/>
    <w:rPr>
      <w:b/>
      <w:bCs/>
      <w:sz w:val="20"/>
      <w:szCs w:val="20"/>
    </w:rPr>
  </w:style>
  <w:style w:type="paragraph" w:styleId="Textoindependiente">
    <w:name w:val="Body Text"/>
    <w:basedOn w:val="Normal"/>
    <w:link w:val="TextoindependienteCar"/>
    <w:rsid w:val="00DA77C8"/>
    <w:pPr>
      <w:spacing w:after="0" w:line="240" w:lineRule="auto"/>
      <w:jc w:val="both"/>
    </w:pPr>
    <w:rPr>
      <w:rFonts w:ascii="Arial" w:eastAsia="Times New Roman" w:hAnsi="Arial" w:cs="Arial"/>
      <w:spacing w:val="20"/>
      <w:sz w:val="24"/>
      <w:szCs w:val="24"/>
      <w:lang w:val="es-MX" w:eastAsia="es-ES"/>
    </w:rPr>
  </w:style>
  <w:style w:type="character" w:customStyle="1" w:styleId="TextoindependienteCar">
    <w:name w:val="Texto independiente Car"/>
    <w:basedOn w:val="Fuentedeprrafopredeter"/>
    <w:link w:val="Textoindependiente"/>
    <w:rsid w:val="00DA77C8"/>
    <w:rPr>
      <w:rFonts w:ascii="Arial" w:eastAsia="Times New Roman" w:hAnsi="Arial" w:cs="Arial"/>
      <w:spacing w:val="20"/>
      <w:sz w:val="24"/>
      <w:szCs w:val="24"/>
      <w:lang w:val="es-MX" w:eastAsia="es-ES"/>
    </w:rPr>
  </w:style>
  <w:style w:type="paragraph" w:styleId="Revisin">
    <w:name w:val="Revision"/>
    <w:hidden/>
    <w:uiPriority w:val="99"/>
    <w:semiHidden/>
    <w:rsid w:val="00EF5F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DBEDC471B0D4548B347D6D57CF8C79E" ma:contentTypeVersion="6" ma:contentTypeDescription="Crear nuevo documento." ma:contentTypeScope="" ma:versionID="41f1c5ad44172d33d4f5b7ad88052da1">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e15ff59aca40ced50d27c8ea304ba71c"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2A85D9-BF80-4627-91D3-6E4D881DC85F}">
  <ds:schemaRefs>
    <ds:schemaRef ds:uri="http://schemas.openxmlformats.org/officeDocument/2006/bibliography"/>
  </ds:schemaRefs>
</ds:datastoreItem>
</file>

<file path=customXml/itemProps2.xml><?xml version="1.0" encoding="utf-8"?>
<ds:datastoreItem xmlns:ds="http://schemas.openxmlformats.org/officeDocument/2006/customXml" ds:itemID="{4E440932-77BD-4BE5-A493-2D21336BB547}">
  <ds:schemaRefs>
    <ds:schemaRef ds:uri="http://schemas.microsoft.com/sharepoint/v3/contenttype/forms"/>
  </ds:schemaRefs>
</ds:datastoreItem>
</file>

<file path=customXml/itemProps3.xml><?xml version="1.0" encoding="utf-8"?>
<ds:datastoreItem xmlns:ds="http://schemas.openxmlformats.org/officeDocument/2006/customXml" ds:itemID="{0C2B9A07-CF00-4528-91F4-72419D5D33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4ACBDE-6FD1-478F-9DA6-2395ED63F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13</Pages>
  <Words>7012</Words>
  <Characters>38568</Characters>
  <Application>Microsoft Office Word</Application>
  <DocSecurity>0</DocSecurity>
  <Lines>321</Lines>
  <Paragraphs>90</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45490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Felipe Vera Valencia</dc:creator>
  <cp:keywords/>
  <cp:lastModifiedBy>Gabriel Armando Ospina Garcia</cp:lastModifiedBy>
  <cp:revision>96</cp:revision>
  <cp:lastPrinted>2017-07-12T00:06:00Z</cp:lastPrinted>
  <dcterms:created xsi:type="dcterms:W3CDTF">2021-07-28T20:43:00Z</dcterms:created>
  <dcterms:modified xsi:type="dcterms:W3CDTF">2021-09-22T14:43:00Z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